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89"/>
        <w:gridCol w:w="6327"/>
      </w:tblGrid>
      <w:tr w:rsidR="00C34A68" w14:paraId="498013A2" w14:textId="77777777" w:rsidTr="00C34A68">
        <w:tc>
          <w:tcPr>
            <w:tcW w:w="2689" w:type="dxa"/>
          </w:tcPr>
          <w:p w14:paraId="498013A0" w14:textId="442D9420" w:rsidR="00C34A68" w:rsidRDefault="00C34A68">
            <w:r>
              <w:t>Policy No:</w:t>
            </w:r>
            <w:r w:rsidR="00E01E54">
              <w:t xml:space="preserve"> </w:t>
            </w:r>
            <w:r w:rsidR="00FE19F5">
              <w:t>3.16</w:t>
            </w:r>
          </w:p>
        </w:tc>
        <w:tc>
          <w:tcPr>
            <w:tcW w:w="6327" w:type="dxa"/>
          </w:tcPr>
          <w:p w14:paraId="498013A1" w14:textId="32CE114B" w:rsidR="00C34A68" w:rsidRPr="004F1E6E" w:rsidRDefault="00C34A68">
            <w:pPr>
              <w:rPr>
                <w:b/>
                <w:bCs/>
              </w:rPr>
            </w:pPr>
            <w:r>
              <w:t>Policy Name:</w:t>
            </w:r>
            <w:r w:rsidR="00996D76">
              <w:t xml:space="preserve"> </w:t>
            </w:r>
            <w:r w:rsidR="00221611">
              <w:t>Notifiable Data Breaches</w:t>
            </w:r>
          </w:p>
        </w:tc>
      </w:tr>
    </w:tbl>
    <w:p w14:paraId="498013A3" w14:textId="77777777" w:rsidR="00C34A68" w:rsidRDefault="00C34A68"/>
    <w:tbl>
      <w:tblPr>
        <w:tblStyle w:val="TableGrid"/>
        <w:tblW w:w="0" w:type="auto"/>
        <w:tblLook w:val="04A0" w:firstRow="1" w:lastRow="0" w:firstColumn="1" w:lastColumn="0" w:noHBand="0" w:noVBand="1"/>
      </w:tblPr>
      <w:tblGrid>
        <w:gridCol w:w="4531"/>
        <w:gridCol w:w="4485"/>
      </w:tblGrid>
      <w:tr w:rsidR="00C34A68" w14:paraId="498013A6" w14:textId="77777777" w:rsidTr="00C34A68">
        <w:tc>
          <w:tcPr>
            <w:tcW w:w="4531" w:type="dxa"/>
          </w:tcPr>
          <w:p w14:paraId="498013A4" w14:textId="1251C53D" w:rsidR="002B68ED" w:rsidRDefault="00C34A68" w:rsidP="00A209D6">
            <w:r>
              <w:t>Applies to:</w:t>
            </w:r>
            <w:r w:rsidR="00553E0C">
              <w:t xml:space="preserve"> </w:t>
            </w:r>
          </w:p>
        </w:tc>
        <w:tc>
          <w:tcPr>
            <w:tcW w:w="4485" w:type="dxa"/>
          </w:tcPr>
          <w:p w14:paraId="498013A5" w14:textId="77777777" w:rsidR="00C34A68" w:rsidRDefault="00C34A68">
            <w:r>
              <w:t>Version:</w:t>
            </w:r>
            <w:r w:rsidR="007C3154">
              <w:t xml:space="preserve"> </w:t>
            </w:r>
          </w:p>
        </w:tc>
      </w:tr>
      <w:tr w:rsidR="00C34A68" w14:paraId="498013A9" w14:textId="77777777" w:rsidTr="00C34A68">
        <w:tc>
          <w:tcPr>
            <w:tcW w:w="4531" w:type="dxa"/>
          </w:tcPr>
          <w:p w14:paraId="498013A7" w14:textId="77777777" w:rsidR="00C34A68" w:rsidRDefault="00A209D6">
            <w:r>
              <w:t>Specific responsibility</w:t>
            </w:r>
            <w:r w:rsidR="00C34A68">
              <w:t>:</w:t>
            </w:r>
            <w:r w:rsidR="007C3154">
              <w:t xml:space="preserve"> </w:t>
            </w:r>
          </w:p>
        </w:tc>
        <w:tc>
          <w:tcPr>
            <w:tcW w:w="4485" w:type="dxa"/>
          </w:tcPr>
          <w:p w14:paraId="498013A8" w14:textId="77777777" w:rsidR="00C34A68" w:rsidRDefault="00C34A68">
            <w:r>
              <w:t>Date Approved:</w:t>
            </w:r>
          </w:p>
        </w:tc>
      </w:tr>
      <w:tr w:rsidR="00C34A68" w14:paraId="498013AC" w14:textId="77777777" w:rsidTr="00C34A68">
        <w:tc>
          <w:tcPr>
            <w:tcW w:w="4531" w:type="dxa"/>
          </w:tcPr>
          <w:p w14:paraId="498013AA" w14:textId="77777777" w:rsidR="00C34A68" w:rsidRDefault="00C34A68"/>
        </w:tc>
        <w:tc>
          <w:tcPr>
            <w:tcW w:w="4485" w:type="dxa"/>
          </w:tcPr>
          <w:p w14:paraId="498013AB" w14:textId="77777777" w:rsidR="00C34A68" w:rsidRDefault="00C34A68">
            <w:r>
              <w:t>Review Date:</w:t>
            </w:r>
          </w:p>
        </w:tc>
      </w:tr>
    </w:tbl>
    <w:p w14:paraId="498013AD" w14:textId="77777777" w:rsidR="00C34A68" w:rsidRDefault="00C34A68" w:rsidP="006418F0">
      <w:pPr>
        <w:pStyle w:val="Heading1"/>
        <w:numPr>
          <w:ilvl w:val="0"/>
          <w:numId w:val="1"/>
        </w:numPr>
      </w:pPr>
      <w:r>
        <w:t>Purpose</w:t>
      </w:r>
    </w:p>
    <w:p w14:paraId="3CAD3B26" w14:textId="042F5626" w:rsidR="00EF0906" w:rsidRPr="00A26B7E" w:rsidRDefault="00EF0906" w:rsidP="00EF0906">
      <w:pPr>
        <w:autoSpaceDE w:val="0"/>
        <w:autoSpaceDN w:val="0"/>
        <w:adjustRightInd w:val="0"/>
        <w:rPr>
          <w:rStyle w:val="Emphasis"/>
          <w:lang w:val="en-GB"/>
        </w:rPr>
      </w:pPr>
      <w:r w:rsidRPr="00A26B7E">
        <w:t>The purpose of this policy is to</w:t>
      </w:r>
      <w:r w:rsidRPr="00A26B7E">
        <w:rPr>
          <w:rFonts w:cs="Arial"/>
        </w:rPr>
        <w:t xml:space="preserve"> respond to</w:t>
      </w:r>
      <w:r w:rsidRPr="00A26B7E">
        <w:rPr>
          <w:lang w:val="en-GB"/>
        </w:rPr>
        <w:t xml:space="preserve"> the </w:t>
      </w:r>
      <w:r w:rsidRPr="00A26B7E">
        <w:rPr>
          <w:rStyle w:val="Emphasis"/>
          <w:i w:val="0"/>
          <w:iCs w:val="0"/>
          <w:lang w:val="en-GB"/>
        </w:rPr>
        <w:t xml:space="preserve">Privacy Amendment (Notifiable Data Breaches) Act 2017 and to protect the privacy rights of clients accessing </w:t>
      </w:r>
      <w:r w:rsidR="007D03AC">
        <w:rPr>
          <w:rStyle w:val="Emphasis"/>
          <w:i w:val="0"/>
          <w:iCs w:val="0"/>
          <w:lang w:val="en-GB"/>
        </w:rPr>
        <w:t>[Service Name]</w:t>
      </w:r>
      <w:r w:rsidRPr="00A26B7E">
        <w:rPr>
          <w:rStyle w:val="Emphasis"/>
          <w:i w:val="0"/>
          <w:iCs w:val="0"/>
          <w:lang w:val="en-GB"/>
        </w:rPr>
        <w:t>.</w:t>
      </w:r>
    </w:p>
    <w:p w14:paraId="5CC300CA" w14:textId="533A300C" w:rsidR="00EF0906" w:rsidRPr="00A26B7E" w:rsidRDefault="00EF0906" w:rsidP="00EF0906">
      <w:r w:rsidRPr="00A26B7E">
        <w:t xml:space="preserve">This policy applies to all </w:t>
      </w:r>
      <w:r w:rsidR="007D03AC">
        <w:t>[Service Name</w:t>
      </w:r>
      <w:r w:rsidR="008A3455">
        <w:t>]</w:t>
      </w:r>
      <w:r w:rsidRPr="00A26B7E">
        <w:t xml:space="preserve"> staff members, students, </w:t>
      </w:r>
      <w:proofErr w:type="gramStart"/>
      <w:r w:rsidRPr="00A26B7E">
        <w:t>volunteers</w:t>
      </w:r>
      <w:proofErr w:type="gramEnd"/>
      <w:r w:rsidRPr="00A26B7E">
        <w:t xml:space="preserve"> and Board members.</w:t>
      </w:r>
    </w:p>
    <w:p w14:paraId="498013AF" w14:textId="77777777" w:rsidR="00C34A68" w:rsidRDefault="00C34A68" w:rsidP="006418F0">
      <w:pPr>
        <w:pStyle w:val="Heading1"/>
        <w:numPr>
          <w:ilvl w:val="0"/>
          <w:numId w:val="1"/>
        </w:numPr>
      </w:pPr>
      <w:r>
        <w:t>Policy statement</w:t>
      </w:r>
    </w:p>
    <w:p w14:paraId="48665004" w14:textId="10D7598E" w:rsidR="00A26B7E" w:rsidRPr="00A26B7E" w:rsidRDefault="00A26B7E" w:rsidP="00A26B7E">
      <w:pPr>
        <w:pStyle w:val="Default"/>
        <w:rPr>
          <w:rFonts w:asciiTheme="minorHAnsi" w:hAnsiTheme="minorHAnsi"/>
          <w:sz w:val="22"/>
          <w:szCs w:val="22"/>
        </w:rPr>
      </w:pPr>
      <w:r w:rsidRPr="00A26B7E">
        <w:rPr>
          <w:rFonts w:asciiTheme="minorHAnsi" w:hAnsiTheme="minorHAnsi"/>
          <w:sz w:val="22"/>
          <w:szCs w:val="22"/>
        </w:rPr>
        <w:t xml:space="preserve">As an organisation regulated under the </w:t>
      </w:r>
      <w:r w:rsidRPr="008A3455">
        <w:rPr>
          <w:rFonts w:asciiTheme="minorHAnsi" w:hAnsiTheme="minorHAnsi"/>
          <w:iCs/>
          <w:sz w:val="22"/>
          <w:szCs w:val="22"/>
        </w:rPr>
        <w:t>Australian Privacy Act 1998 (Cwlth)</w:t>
      </w:r>
      <w:r w:rsidRPr="00A26B7E">
        <w:rPr>
          <w:rFonts w:asciiTheme="minorHAnsi" w:hAnsiTheme="minorHAnsi"/>
          <w:sz w:val="22"/>
          <w:szCs w:val="22"/>
        </w:rPr>
        <w:t xml:space="preserve">, </w:t>
      </w:r>
      <w:r w:rsidR="007D03AC">
        <w:rPr>
          <w:rFonts w:asciiTheme="minorHAnsi" w:hAnsiTheme="minorHAnsi"/>
          <w:sz w:val="22"/>
          <w:szCs w:val="22"/>
        </w:rPr>
        <w:t>[Service Name]</w:t>
      </w:r>
      <w:r w:rsidRPr="00A26B7E">
        <w:rPr>
          <w:rFonts w:asciiTheme="minorHAnsi" w:hAnsiTheme="minorHAnsi"/>
          <w:sz w:val="22"/>
          <w:szCs w:val="22"/>
        </w:rPr>
        <w:t xml:space="preserve"> operates within the regulations of the NDB scheme. </w:t>
      </w:r>
    </w:p>
    <w:p w14:paraId="18188937" w14:textId="77777777" w:rsidR="00A26B7E" w:rsidRPr="00A26B7E" w:rsidRDefault="00A26B7E" w:rsidP="00A26B7E">
      <w:pPr>
        <w:pStyle w:val="Default"/>
        <w:rPr>
          <w:rFonts w:asciiTheme="minorHAnsi" w:hAnsiTheme="minorHAnsi"/>
          <w:sz w:val="22"/>
          <w:szCs w:val="22"/>
        </w:rPr>
      </w:pPr>
    </w:p>
    <w:p w14:paraId="0054BBB5" w14:textId="77777777" w:rsidR="00A26B7E" w:rsidRPr="00A26B7E" w:rsidRDefault="00A26B7E" w:rsidP="00A26B7E">
      <w:pPr>
        <w:pStyle w:val="Default"/>
        <w:rPr>
          <w:rFonts w:asciiTheme="minorHAnsi" w:hAnsiTheme="minorHAnsi"/>
          <w:color w:val="auto"/>
          <w:sz w:val="22"/>
          <w:szCs w:val="22"/>
        </w:rPr>
      </w:pPr>
      <w:r w:rsidRPr="00A26B7E">
        <w:rPr>
          <w:rFonts w:asciiTheme="minorHAnsi" w:hAnsiTheme="minorHAnsi"/>
          <w:color w:val="auto"/>
          <w:sz w:val="22"/>
          <w:szCs w:val="22"/>
        </w:rPr>
        <w:t>The NDB scheme strengthens protections for personal information and allows individuals to take steps to protect their information when a breach of data, or a suspected breach, in relation to that person is made by an organisation that holds such data.  The NDB scheme requires organisations to undertake the following steps:</w:t>
      </w:r>
    </w:p>
    <w:p w14:paraId="4DB1AF1F" w14:textId="77777777" w:rsidR="00A26B7E" w:rsidRPr="00A26B7E" w:rsidRDefault="00A26B7E" w:rsidP="00A26B7E">
      <w:pPr>
        <w:pStyle w:val="Default"/>
        <w:numPr>
          <w:ilvl w:val="0"/>
          <w:numId w:val="9"/>
        </w:numPr>
        <w:rPr>
          <w:rFonts w:asciiTheme="minorHAnsi" w:hAnsiTheme="minorHAnsi"/>
          <w:color w:val="auto"/>
          <w:sz w:val="22"/>
          <w:szCs w:val="22"/>
        </w:rPr>
      </w:pPr>
      <w:r w:rsidRPr="00A26B7E">
        <w:rPr>
          <w:rFonts w:asciiTheme="minorHAnsi" w:hAnsiTheme="minorHAnsi"/>
          <w:color w:val="auto"/>
          <w:sz w:val="22"/>
          <w:szCs w:val="22"/>
        </w:rPr>
        <w:t xml:space="preserve">assess when there has been a data breach </w:t>
      </w:r>
    </w:p>
    <w:p w14:paraId="34982416" w14:textId="77777777" w:rsidR="00A26B7E" w:rsidRPr="00A26B7E" w:rsidRDefault="00A26B7E" w:rsidP="00A26B7E">
      <w:pPr>
        <w:pStyle w:val="Default"/>
        <w:numPr>
          <w:ilvl w:val="0"/>
          <w:numId w:val="9"/>
        </w:numPr>
        <w:rPr>
          <w:rFonts w:asciiTheme="minorHAnsi" w:hAnsiTheme="minorHAnsi"/>
          <w:color w:val="auto"/>
          <w:sz w:val="22"/>
          <w:szCs w:val="22"/>
        </w:rPr>
      </w:pPr>
      <w:r w:rsidRPr="00A26B7E">
        <w:rPr>
          <w:rFonts w:asciiTheme="minorHAnsi" w:hAnsiTheme="minorHAnsi"/>
          <w:color w:val="auto"/>
          <w:sz w:val="22"/>
          <w:szCs w:val="22"/>
        </w:rPr>
        <w:t xml:space="preserve">notify the affected individual(s) </w:t>
      </w:r>
    </w:p>
    <w:p w14:paraId="4BAD3077" w14:textId="77777777" w:rsidR="00A26B7E" w:rsidRPr="00A26B7E" w:rsidRDefault="00A26B7E" w:rsidP="00A26B7E">
      <w:pPr>
        <w:pStyle w:val="Default"/>
        <w:numPr>
          <w:ilvl w:val="0"/>
          <w:numId w:val="9"/>
        </w:numPr>
        <w:rPr>
          <w:rFonts w:asciiTheme="minorHAnsi" w:hAnsiTheme="minorHAnsi"/>
          <w:color w:val="auto"/>
          <w:sz w:val="22"/>
          <w:szCs w:val="22"/>
        </w:rPr>
      </w:pPr>
      <w:r w:rsidRPr="00A26B7E">
        <w:rPr>
          <w:rFonts w:asciiTheme="minorHAnsi" w:hAnsiTheme="minorHAnsi"/>
          <w:sz w:val="22"/>
          <w:szCs w:val="22"/>
          <w:lang w:val="en-GB"/>
        </w:rPr>
        <w:t xml:space="preserve">notify the office of the Australian Information Commission (OAIC) when a data breach is likely to result in serious harm to the individual(s) whose personal information is involved in the breach. </w:t>
      </w:r>
    </w:p>
    <w:p w14:paraId="4E292237" w14:textId="21C06177" w:rsidR="00A26B7E" w:rsidRPr="00A26B7E" w:rsidRDefault="007D03AC" w:rsidP="00A26B7E">
      <w:r>
        <w:t>[Service Name]</w:t>
      </w:r>
      <w:r w:rsidR="00A26B7E" w:rsidRPr="00A26B7E">
        <w:t>’s commitment to the NDB scheme is demonstrated by its implementing of timely assessments and response processes when a data breach has occurred.</w:t>
      </w:r>
    </w:p>
    <w:p w14:paraId="498013B2" w14:textId="68033384" w:rsidR="00C34A68" w:rsidRDefault="00C34A68" w:rsidP="006418F0">
      <w:pPr>
        <w:pStyle w:val="Heading1"/>
        <w:numPr>
          <w:ilvl w:val="0"/>
          <w:numId w:val="1"/>
        </w:numPr>
      </w:pPr>
      <w:r>
        <w:t>References</w:t>
      </w:r>
    </w:p>
    <w:p w14:paraId="5E6A64D3" w14:textId="77777777" w:rsidR="00D83628" w:rsidRPr="00D83628" w:rsidRDefault="00D83628" w:rsidP="00D83628">
      <w:pPr>
        <w:autoSpaceDE w:val="0"/>
        <w:autoSpaceDN w:val="0"/>
        <w:adjustRightInd w:val="0"/>
        <w:spacing w:before="120" w:after="120" w:line="240" w:lineRule="auto"/>
        <w:rPr>
          <w:rFonts w:cs="Arial"/>
          <w:color w:val="000000"/>
        </w:rPr>
      </w:pPr>
      <w:r w:rsidRPr="00D83628">
        <w:rPr>
          <w:rFonts w:cs="Arial"/>
          <w:color w:val="000000"/>
        </w:rPr>
        <w:t xml:space="preserve">Office of the Australian Information Commissioner </w:t>
      </w:r>
    </w:p>
    <w:p w14:paraId="60005216" w14:textId="77777777" w:rsidR="00D83628" w:rsidRPr="00D83628" w:rsidRDefault="00D83628" w:rsidP="00D83628">
      <w:pPr>
        <w:spacing w:before="120" w:after="120" w:line="240" w:lineRule="auto"/>
        <w:rPr>
          <w:rFonts w:ascii="Arial" w:hAnsi="Arial" w:cs="Arial"/>
          <w:color w:val="000000"/>
        </w:rPr>
      </w:pPr>
      <w:r w:rsidRPr="00D83628">
        <w:rPr>
          <w:rStyle w:val="Strong"/>
          <w:rFonts w:cs="Arial"/>
          <w:b w:val="0"/>
          <w:bCs w:val="0"/>
          <w:lang w:val="en"/>
        </w:rPr>
        <w:t>Federal Circuit Court of Australia (Consequential Amendments) Act 2013</w:t>
      </w:r>
    </w:p>
    <w:p w14:paraId="23CAC817" w14:textId="7F791CDB" w:rsidR="00D83628" w:rsidRPr="00D83628" w:rsidRDefault="00D83628" w:rsidP="00D83628">
      <w:pPr>
        <w:spacing w:before="120" w:after="120" w:line="240" w:lineRule="auto"/>
        <w:jc w:val="both"/>
      </w:pPr>
      <w:r w:rsidRPr="00D83628">
        <w:t>Privacy Amendment (Enhancing Privacy Protection) Act 2012</w:t>
      </w:r>
    </w:p>
    <w:p w14:paraId="61F9216A" w14:textId="77777777" w:rsidR="00D83628" w:rsidRPr="00D83628" w:rsidRDefault="00D83628" w:rsidP="00D83628">
      <w:pPr>
        <w:spacing w:before="120" w:after="120" w:line="240" w:lineRule="auto"/>
        <w:jc w:val="both"/>
      </w:pPr>
      <w:r w:rsidRPr="00D83628">
        <w:t>Health Records and Information Privacy Act 2002 (NSW)</w:t>
      </w:r>
    </w:p>
    <w:p w14:paraId="5DDC4D6E" w14:textId="628D91B5" w:rsidR="00322304" w:rsidRPr="00D83628" w:rsidRDefault="00D83628" w:rsidP="00D83628">
      <w:pPr>
        <w:spacing w:before="120" w:after="120" w:line="240" w:lineRule="auto"/>
        <w:rPr>
          <w:rFonts w:cs="Arial"/>
          <w:color w:val="000000"/>
        </w:rPr>
      </w:pPr>
      <w:r w:rsidRPr="00D83628">
        <w:rPr>
          <w:rFonts w:cs="Arial"/>
          <w:color w:val="000000"/>
        </w:rPr>
        <w:t>Privacy Act 1988</w:t>
      </w:r>
    </w:p>
    <w:p w14:paraId="498013B4" w14:textId="759015A5" w:rsidR="00C34A68" w:rsidRDefault="00C34A68" w:rsidP="006418F0">
      <w:pPr>
        <w:pStyle w:val="Heading1"/>
        <w:numPr>
          <w:ilvl w:val="0"/>
          <w:numId w:val="1"/>
        </w:numPr>
      </w:pPr>
      <w:r>
        <w:t>Definitions</w:t>
      </w:r>
    </w:p>
    <w:p w14:paraId="5E32C332" w14:textId="77777777" w:rsidR="004412A6" w:rsidRPr="0050207A" w:rsidRDefault="004412A6" w:rsidP="004412A6">
      <w:pPr>
        <w:pStyle w:val="ListParagraph"/>
        <w:spacing w:after="0"/>
        <w:ind w:left="0"/>
        <w:rPr>
          <w:rFonts w:eastAsia="Times New Roman"/>
          <w:lang w:val="en-GB"/>
        </w:rPr>
      </w:pPr>
      <w:r w:rsidRPr="0050207A">
        <w:rPr>
          <w:rFonts w:eastAsia="Times New Roman"/>
          <w:lang w:val="en-GB"/>
        </w:rPr>
        <w:t xml:space="preserve">A </w:t>
      </w:r>
      <w:r w:rsidRPr="0050207A">
        <w:rPr>
          <w:rFonts w:eastAsia="Times New Roman"/>
          <w:b/>
          <w:bCs/>
          <w:lang w:val="en-GB"/>
        </w:rPr>
        <w:t>data breach</w:t>
      </w:r>
      <w:r w:rsidRPr="0050207A">
        <w:rPr>
          <w:rFonts w:eastAsia="Times New Roman"/>
          <w:lang w:val="en-GB"/>
        </w:rPr>
        <w:t xml:space="preserve"> occurs when personal information is lost or subjected to unauthorised access or disclosure.</w:t>
      </w:r>
    </w:p>
    <w:p w14:paraId="5C7745B4" w14:textId="77777777" w:rsidR="004412A6" w:rsidRPr="0050207A" w:rsidRDefault="004412A6" w:rsidP="004412A6">
      <w:pPr>
        <w:spacing w:before="240" w:after="240"/>
        <w:rPr>
          <w:rFonts w:eastAsia="Times New Roman"/>
          <w:lang w:val="en-GB"/>
        </w:rPr>
      </w:pPr>
      <w:r w:rsidRPr="0050207A">
        <w:rPr>
          <w:rFonts w:eastAsia="Times New Roman"/>
          <w:lang w:val="en-GB"/>
        </w:rPr>
        <w:t>The notifiable data breaches (NDB) scheme only applies to data breaches involving personal information that is likely to result in serious harm to any individual affected. These are considered eligible data breaches.</w:t>
      </w:r>
    </w:p>
    <w:p w14:paraId="66BA03D9" w14:textId="77777777" w:rsidR="004412A6" w:rsidRPr="0050207A" w:rsidRDefault="004412A6" w:rsidP="004412A6">
      <w:pPr>
        <w:spacing w:before="240" w:after="240"/>
        <w:rPr>
          <w:rFonts w:eastAsia="Times New Roman"/>
          <w:lang w:val="en-GB"/>
        </w:rPr>
      </w:pPr>
      <w:r w:rsidRPr="0050207A">
        <w:rPr>
          <w:rFonts w:eastAsia="Times New Roman"/>
          <w:lang w:val="en-GB"/>
        </w:rPr>
        <w:t>Examples of a data breach include the following incidents:</w:t>
      </w:r>
    </w:p>
    <w:p w14:paraId="09328689" w14:textId="77777777" w:rsidR="004412A6" w:rsidRPr="00B72A2E" w:rsidRDefault="004412A6" w:rsidP="004412A6">
      <w:pPr>
        <w:pStyle w:val="ListParagraph"/>
        <w:numPr>
          <w:ilvl w:val="0"/>
          <w:numId w:val="10"/>
        </w:numPr>
        <w:spacing w:before="100" w:beforeAutospacing="1" w:after="100" w:afterAutospacing="1" w:line="240" w:lineRule="auto"/>
        <w:rPr>
          <w:rFonts w:eastAsia="Times New Roman"/>
          <w:lang w:val="en-GB"/>
        </w:rPr>
      </w:pPr>
      <w:r w:rsidRPr="00B72A2E">
        <w:rPr>
          <w:rFonts w:eastAsia="Times New Roman"/>
          <w:lang w:val="en-GB"/>
        </w:rPr>
        <w:t>A client’s personal information is lost or stolen.</w:t>
      </w:r>
    </w:p>
    <w:p w14:paraId="725FDC0E" w14:textId="77777777" w:rsidR="004412A6" w:rsidRPr="00B72A2E" w:rsidRDefault="004412A6" w:rsidP="004412A6">
      <w:pPr>
        <w:pStyle w:val="ListParagraph"/>
        <w:numPr>
          <w:ilvl w:val="0"/>
          <w:numId w:val="10"/>
        </w:numPr>
        <w:spacing w:before="100" w:beforeAutospacing="1" w:after="100" w:afterAutospacing="1" w:line="240" w:lineRule="auto"/>
        <w:rPr>
          <w:rFonts w:eastAsia="Times New Roman"/>
          <w:lang w:val="en-GB"/>
        </w:rPr>
      </w:pPr>
      <w:r w:rsidRPr="00B72A2E">
        <w:rPr>
          <w:rFonts w:eastAsia="Times New Roman"/>
          <w:lang w:val="en-GB"/>
        </w:rPr>
        <w:lastRenderedPageBreak/>
        <w:t>A database containing personal information is hacked.</w:t>
      </w:r>
    </w:p>
    <w:p w14:paraId="6289FE51" w14:textId="77777777" w:rsidR="004412A6" w:rsidRPr="00B72A2E" w:rsidRDefault="004412A6" w:rsidP="004412A6">
      <w:pPr>
        <w:pStyle w:val="ListParagraph"/>
        <w:numPr>
          <w:ilvl w:val="0"/>
          <w:numId w:val="10"/>
        </w:numPr>
        <w:spacing w:before="100" w:beforeAutospacing="1" w:after="100" w:afterAutospacing="1" w:line="240" w:lineRule="auto"/>
        <w:rPr>
          <w:rFonts w:eastAsia="Times New Roman"/>
          <w:lang w:val="en-GB"/>
        </w:rPr>
      </w:pPr>
      <w:r w:rsidRPr="00B72A2E">
        <w:rPr>
          <w:rFonts w:eastAsia="Times New Roman"/>
          <w:lang w:val="en-GB"/>
        </w:rPr>
        <w:t>Personal information is mistakenly provided to the wrong person.</w:t>
      </w:r>
    </w:p>
    <w:p w14:paraId="498013B5" w14:textId="77777777" w:rsidR="00C34A68" w:rsidRDefault="00C34A68" w:rsidP="006418F0">
      <w:pPr>
        <w:pStyle w:val="Heading1"/>
        <w:numPr>
          <w:ilvl w:val="0"/>
          <w:numId w:val="1"/>
        </w:numPr>
      </w:pPr>
      <w:r>
        <w:t>Procedure</w:t>
      </w:r>
    </w:p>
    <w:p w14:paraId="646B6D1A" w14:textId="77777777" w:rsidR="007D03AC" w:rsidRPr="00E825AD" w:rsidRDefault="007D03AC" w:rsidP="007D03AC">
      <w:pPr>
        <w:pStyle w:val="Heading2"/>
        <w:rPr>
          <w:lang w:val="en-GB"/>
        </w:rPr>
      </w:pPr>
      <w:r w:rsidRPr="00E825AD">
        <w:rPr>
          <w:lang w:val="en-GB"/>
        </w:rPr>
        <w:t xml:space="preserve">Eligible data breaches </w:t>
      </w:r>
    </w:p>
    <w:p w14:paraId="08456866" w14:textId="77777777" w:rsidR="007D03AC" w:rsidRPr="0050207A" w:rsidRDefault="007D03AC" w:rsidP="007D03AC">
      <w:pPr>
        <w:spacing w:after="200"/>
      </w:pPr>
      <w:r w:rsidRPr="0050207A">
        <w:t>A data breach is eligible if it is likely to result in serious harm to any of the individuals to whom the information relates.</w:t>
      </w:r>
    </w:p>
    <w:p w14:paraId="69C2BE62" w14:textId="77777777" w:rsidR="007D03AC" w:rsidRPr="0050207A" w:rsidRDefault="007D03AC" w:rsidP="007D03AC">
      <w:pPr>
        <w:spacing w:after="200"/>
      </w:pPr>
      <w:r w:rsidRPr="0050207A">
        <w:t xml:space="preserve">If a data breach is likely to result in serious harm, then an objective assessment is to be completed from the perspective of a reasonable person. </w:t>
      </w:r>
    </w:p>
    <w:p w14:paraId="6F0EB1AE" w14:textId="666E6786" w:rsidR="007D03AC" w:rsidRPr="0050207A" w:rsidRDefault="007D03AC" w:rsidP="007D03AC">
      <w:pPr>
        <w:spacing w:after="200"/>
      </w:pPr>
      <w:r w:rsidRPr="0050207A">
        <w:t xml:space="preserve">A reasonable person denotes someone in </w:t>
      </w:r>
      <w:r>
        <w:t>[Service Name]</w:t>
      </w:r>
      <w:r w:rsidRPr="0050207A">
        <w:t xml:space="preserve"> who is properly informed about the matter, based on information that is immediately available or following reasonable inquiries about the data breach. </w:t>
      </w:r>
    </w:p>
    <w:p w14:paraId="21C3589F" w14:textId="24DF6A0E" w:rsidR="007D03AC" w:rsidRPr="00EF07F6" w:rsidRDefault="007D03AC" w:rsidP="007D03AC">
      <w:pPr>
        <w:spacing w:after="200"/>
        <w:rPr>
          <w:lang w:val="en-GB"/>
        </w:rPr>
      </w:pPr>
      <w:r w:rsidRPr="0050207A">
        <w:t xml:space="preserve">If </w:t>
      </w:r>
      <w:r>
        <w:t>[Service Name]</w:t>
      </w:r>
      <w:r w:rsidRPr="0050207A">
        <w:t xml:space="preserve"> acts quickly to remediate a data breach, and the data breach is not likely to result in serious harm due to this action, then there is no requirement to notify </w:t>
      </w:r>
      <w:r w:rsidRPr="00EF07F6">
        <w:rPr>
          <w:lang w:val="en-GB"/>
        </w:rPr>
        <w:t>any individual or the Commissioner.</w:t>
      </w:r>
    </w:p>
    <w:p w14:paraId="5E2BA1B4" w14:textId="77777777" w:rsidR="007D03AC" w:rsidRPr="00E825AD" w:rsidRDefault="007D03AC" w:rsidP="007D03AC">
      <w:pPr>
        <w:pStyle w:val="Heading2"/>
        <w:rPr>
          <w:lang w:val="en-GB"/>
        </w:rPr>
      </w:pPr>
      <w:r w:rsidRPr="00E825AD">
        <w:rPr>
          <w:lang w:val="en-GB"/>
        </w:rPr>
        <w:t>Assessing for an eligible data breach</w:t>
      </w:r>
    </w:p>
    <w:p w14:paraId="4AE75D57" w14:textId="77777777" w:rsidR="007D03AC" w:rsidRPr="00C04AF2" w:rsidRDefault="007D03AC" w:rsidP="007D03AC">
      <w:pPr>
        <w:pStyle w:val="NormalWeb"/>
        <w:rPr>
          <w:rFonts w:asciiTheme="minorHAnsi" w:hAnsiTheme="minorHAnsi"/>
          <w:lang w:val="en-GB"/>
        </w:rPr>
      </w:pPr>
      <w:r w:rsidRPr="00C04AF2">
        <w:rPr>
          <w:rFonts w:asciiTheme="minorHAnsi" w:hAnsiTheme="minorHAnsi"/>
          <w:lang w:val="en-GB"/>
        </w:rPr>
        <w:t xml:space="preserve">An assessment of an eligible data breach must be conducted within 30 calendar days of the initial breach incident. </w:t>
      </w:r>
    </w:p>
    <w:p w14:paraId="28F4C27A" w14:textId="77777777" w:rsidR="007D03AC" w:rsidRPr="00C04AF2" w:rsidRDefault="007D03AC" w:rsidP="007D03AC">
      <w:pPr>
        <w:pStyle w:val="NormalWeb"/>
        <w:rPr>
          <w:rFonts w:asciiTheme="minorHAnsi" w:hAnsiTheme="minorHAnsi"/>
          <w:lang w:val="en-GB"/>
        </w:rPr>
      </w:pPr>
      <w:r w:rsidRPr="00C04AF2">
        <w:rPr>
          <w:rFonts w:asciiTheme="minorHAnsi" w:hAnsiTheme="minorHAnsi"/>
          <w:lang w:val="en-GB"/>
        </w:rPr>
        <w:t>The following three criteria must be met to determine an eligible data breach:</w:t>
      </w:r>
    </w:p>
    <w:p w14:paraId="50D57D10" w14:textId="1E53E685" w:rsidR="007D03AC" w:rsidRPr="0050207A" w:rsidRDefault="007D03AC" w:rsidP="007D03AC">
      <w:pPr>
        <w:pStyle w:val="ListParagraph"/>
        <w:numPr>
          <w:ilvl w:val="0"/>
          <w:numId w:val="20"/>
        </w:numPr>
        <w:spacing w:before="240" w:after="240" w:line="240" w:lineRule="auto"/>
        <w:ind w:left="360"/>
        <w:rPr>
          <w:rFonts w:eastAsia="Times New Roman"/>
          <w:lang w:val="en-GB"/>
        </w:rPr>
      </w:pPr>
      <w:r w:rsidRPr="0050207A">
        <w:rPr>
          <w:b/>
          <w:bCs/>
          <w:lang w:val="en-GB"/>
        </w:rPr>
        <w:t>Unauthorised access</w:t>
      </w:r>
      <w:r>
        <w:rPr>
          <w:lang w:val="en-GB"/>
        </w:rPr>
        <w:t xml:space="preserve"> – [Service Name] </w:t>
      </w:r>
      <w:r w:rsidRPr="0050207A">
        <w:rPr>
          <w:lang w:val="en-GB"/>
        </w:rPr>
        <w:t xml:space="preserve">has disclosed personal information that is unauthorised, or the information has been accessed inadvertently. </w:t>
      </w:r>
      <w:r w:rsidRPr="0050207A">
        <w:rPr>
          <w:rFonts w:eastAsia="Times New Roman"/>
          <w:lang w:val="en-GB"/>
        </w:rPr>
        <w:t>Examples of unauthorised access include</w:t>
      </w:r>
    </w:p>
    <w:p w14:paraId="292BB83D" w14:textId="77777777" w:rsidR="007D03AC" w:rsidRPr="0050207A" w:rsidRDefault="007D03AC" w:rsidP="007D03AC">
      <w:pPr>
        <w:numPr>
          <w:ilvl w:val="0"/>
          <w:numId w:val="14"/>
        </w:numPr>
        <w:spacing w:before="100" w:beforeAutospacing="1" w:after="100" w:afterAutospacing="1" w:line="240" w:lineRule="auto"/>
        <w:ind w:left="709" w:hanging="283"/>
        <w:rPr>
          <w:rFonts w:eastAsia="Times New Roman"/>
          <w:lang w:val="en-GB"/>
        </w:rPr>
      </w:pPr>
      <w:r w:rsidRPr="0050207A">
        <w:rPr>
          <w:rFonts w:eastAsia="Times New Roman"/>
          <w:lang w:val="en-GB"/>
        </w:rPr>
        <w:t>a staff member browsing sensitive client records without any legitimate purpose</w:t>
      </w:r>
    </w:p>
    <w:p w14:paraId="0D47C572" w14:textId="77777777" w:rsidR="007D03AC" w:rsidRPr="0050207A" w:rsidRDefault="007D03AC" w:rsidP="007D03AC">
      <w:pPr>
        <w:numPr>
          <w:ilvl w:val="0"/>
          <w:numId w:val="14"/>
        </w:numPr>
        <w:spacing w:before="100" w:beforeAutospacing="1" w:after="100" w:afterAutospacing="1" w:line="240" w:lineRule="auto"/>
        <w:ind w:left="709" w:hanging="283"/>
        <w:rPr>
          <w:rFonts w:eastAsia="Times New Roman"/>
          <w:lang w:val="en-GB"/>
        </w:rPr>
      </w:pPr>
      <w:r w:rsidRPr="0050207A">
        <w:rPr>
          <w:rFonts w:eastAsia="Times New Roman"/>
          <w:lang w:val="en-GB"/>
        </w:rPr>
        <w:t>a computer network being hacked, resulting in personal information being accessed without authority</w:t>
      </w:r>
    </w:p>
    <w:p w14:paraId="156E4C41" w14:textId="77777777" w:rsidR="007D03AC" w:rsidRPr="0050207A" w:rsidRDefault="007D03AC" w:rsidP="007D03AC">
      <w:pPr>
        <w:numPr>
          <w:ilvl w:val="0"/>
          <w:numId w:val="14"/>
        </w:numPr>
        <w:spacing w:before="100" w:beforeAutospacing="1" w:after="100" w:afterAutospacing="1" w:line="240" w:lineRule="auto"/>
        <w:ind w:left="709" w:hanging="283"/>
        <w:rPr>
          <w:rFonts w:eastAsia="Times New Roman"/>
          <w:lang w:val="en-GB"/>
        </w:rPr>
      </w:pPr>
      <w:r w:rsidRPr="0050207A">
        <w:rPr>
          <w:rFonts w:eastAsia="Times New Roman"/>
          <w:lang w:val="en-GB"/>
        </w:rPr>
        <w:t>a staff member accidentally publishing a confidential data file containing the personal information</w:t>
      </w:r>
    </w:p>
    <w:p w14:paraId="4370290A" w14:textId="77777777" w:rsidR="007D03AC" w:rsidRPr="0050207A" w:rsidRDefault="007D03AC" w:rsidP="007D03AC">
      <w:pPr>
        <w:numPr>
          <w:ilvl w:val="0"/>
          <w:numId w:val="14"/>
        </w:numPr>
        <w:spacing w:before="100" w:beforeAutospacing="1" w:after="100" w:afterAutospacing="1" w:line="240" w:lineRule="auto"/>
        <w:ind w:left="709" w:hanging="283"/>
        <w:rPr>
          <w:rFonts w:eastAsia="Times New Roman"/>
          <w:lang w:val="en-GB"/>
        </w:rPr>
      </w:pPr>
      <w:r w:rsidRPr="0050207A">
        <w:rPr>
          <w:rFonts w:eastAsia="Times New Roman"/>
          <w:lang w:val="en-GB"/>
        </w:rPr>
        <w:t xml:space="preserve">client information that is lost, either in the workplace due to an unsecured computer or outside the workplace due to reasons such as transporting a client’s file. </w:t>
      </w:r>
    </w:p>
    <w:p w14:paraId="40E32CCA" w14:textId="77777777" w:rsidR="007D03AC" w:rsidRPr="0050207A" w:rsidRDefault="007D03AC" w:rsidP="007D03AC">
      <w:pPr>
        <w:numPr>
          <w:ilvl w:val="0"/>
          <w:numId w:val="20"/>
        </w:numPr>
        <w:autoSpaceDE w:val="0"/>
        <w:autoSpaceDN w:val="0"/>
        <w:adjustRightInd w:val="0"/>
        <w:spacing w:before="100" w:beforeAutospacing="1" w:after="100" w:afterAutospacing="1" w:line="240" w:lineRule="auto"/>
        <w:ind w:left="360"/>
        <w:rPr>
          <w:rFonts w:cs="Arial"/>
          <w:b/>
          <w:bCs/>
        </w:rPr>
      </w:pPr>
      <w:r w:rsidRPr="0050207A">
        <w:rPr>
          <w:rFonts w:cs="Arial"/>
          <w:b/>
          <w:bCs/>
        </w:rPr>
        <w:t>Likelihood of serious harm</w:t>
      </w:r>
      <w:r w:rsidRPr="004D33E4">
        <w:rPr>
          <w:rFonts w:cs="Arial"/>
        </w:rPr>
        <w:t xml:space="preserve"> - </w:t>
      </w:r>
      <w:r w:rsidRPr="0050207A">
        <w:rPr>
          <w:lang w:val="en-GB"/>
        </w:rPr>
        <w:t xml:space="preserve">the second step in deciding whether an eligible data breach has occurred involves deciding from the perspective of a reasonable person whether the data breach would likely result in serious harm to an individual whose personal information was part of the data breach. </w:t>
      </w:r>
    </w:p>
    <w:p w14:paraId="663A1826" w14:textId="77777777" w:rsidR="007D03AC" w:rsidRPr="007E610D" w:rsidRDefault="007D03AC" w:rsidP="007D03AC">
      <w:pPr>
        <w:pStyle w:val="NormalWeb"/>
        <w:ind w:left="360"/>
        <w:rPr>
          <w:rFonts w:asciiTheme="minorHAnsi" w:hAnsiTheme="minorHAnsi"/>
          <w:lang w:val="en-GB"/>
        </w:rPr>
      </w:pPr>
      <w:r w:rsidRPr="007E610D">
        <w:rPr>
          <w:rFonts w:asciiTheme="minorHAnsi" w:hAnsiTheme="minorHAnsi"/>
          <w:lang w:val="en-GB"/>
        </w:rPr>
        <w:t>The phrase ‘likely to result’ means that the risk of serious harm to an individual is more probable than not (rather than possible).</w:t>
      </w:r>
    </w:p>
    <w:p w14:paraId="5DBD50AE" w14:textId="00B4B4EE" w:rsidR="007D03AC" w:rsidRPr="007E610D" w:rsidRDefault="007D03AC" w:rsidP="007D03AC">
      <w:pPr>
        <w:pStyle w:val="NormalWeb"/>
        <w:ind w:left="360"/>
        <w:rPr>
          <w:rFonts w:asciiTheme="minorHAnsi" w:hAnsiTheme="minorHAnsi"/>
          <w:lang w:val="en-GB"/>
        </w:rPr>
      </w:pPr>
      <w:r w:rsidRPr="007E610D">
        <w:rPr>
          <w:rFonts w:asciiTheme="minorHAnsi" w:hAnsiTheme="minorHAnsi"/>
          <w:lang w:val="en-GB"/>
        </w:rPr>
        <w:t xml:space="preserve">Serious harm to an individual may include serious physical, psychological, emotional, </w:t>
      </w:r>
      <w:proofErr w:type="gramStart"/>
      <w:r w:rsidRPr="007E610D">
        <w:rPr>
          <w:rFonts w:asciiTheme="minorHAnsi" w:hAnsiTheme="minorHAnsi"/>
          <w:lang w:val="en-GB"/>
        </w:rPr>
        <w:t>financial</w:t>
      </w:r>
      <w:proofErr w:type="gramEnd"/>
      <w:r w:rsidRPr="007E610D">
        <w:rPr>
          <w:rFonts w:asciiTheme="minorHAnsi" w:hAnsiTheme="minorHAnsi"/>
          <w:lang w:val="en-GB"/>
        </w:rPr>
        <w:t xml:space="preserve"> or reputational harm, such as</w:t>
      </w:r>
      <w:r w:rsidR="007E610D">
        <w:rPr>
          <w:rFonts w:asciiTheme="minorHAnsi" w:hAnsiTheme="minorHAnsi"/>
          <w:lang w:val="en-GB"/>
        </w:rPr>
        <w:t>:</w:t>
      </w:r>
    </w:p>
    <w:p w14:paraId="42CD0C1C" w14:textId="77777777" w:rsidR="007D03AC" w:rsidRPr="0050207A" w:rsidRDefault="007D03AC" w:rsidP="007D03AC">
      <w:pPr>
        <w:numPr>
          <w:ilvl w:val="0"/>
          <w:numId w:val="15"/>
        </w:numPr>
        <w:spacing w:before="100" w:beforeAutospacing="1" w:after="100" w:afterAutospacing="1" w:line="240" w:lineRule="auto"/>
        <w:rPr>
          <w:rFonts w:eastAsia="Times New Roman"/>
          <w:lang w:val="en-GB"/>
        </w:rPr>
      </w:pPr>
      <w:r w:rsidRPr="0050207A">
        <w:rPr>
          <w:rFonts w:eastAsia="Times New Roman"/>
          <w:lang w:val="en-GB"/>
        </w:rPr>
        <w:t>identity theft, which can affect a person’s finances and credit report</w:t>
      </w:r>
    </w:p>
    <w:p w14:paraId="4F567366" w14:textId="77777777" w:rsidR="007D03AC" w:rsidRPr="0050207A" w:rsidRDefault="007D03AC" w:rsidP="007D03AC">
      <w:pPr>
        <w:numPr>
          <w:ilvl w:val="0"/>
          <w:numId w:val="15"/>
        </w:numPr>
        <w:spacing w:before="100" w:beforeAutospacing="1" w:after="100" w:afterAutospacing="1" w:line="240" w:lineRule="auto"/>
        <w:rPr>
          <w:rFonts w:eastAsia="Times New Roman"/>
          <w:lang w:val="en-GB"/>
        </w:rPr>
      </w:pPr>
      <w:r w:rsidRPr="0050207A">
        <w:rPr>
          <w:rFonts w:eastAsia="Times New Roman"/>
          <w:lang w:val="en-GB"/>
        </w:rPr>
        <w:t>financial loss through fraud</w:t>
      </w:r>
    </w:p>
    <w:p w14:paraId="4295F91B" w14:textId="77777777" w:rsidR="007D03AC" w:rsidRPr="0050207A" w:rsidRDefault="007D03AC" w:rsidP="007D03AC">
      <w:pPr>
        <w:numPr>
          <w:ilvl w:val="0"/>
          <w:numId w:val="15"/>
        </w:numPr>
        <w:spacing w:before="100" w:beforeAutospacing="1" w:after="100" w:afterAutospacing="1" w:line="240" w:lineRule="auto"/>
        <w:rPr>
          <w:rFonts w:eastAsia="Times New Roman"/>
          <w:lang w:val="en-GB"/>
        </w:rPr>
      </w:pPr>
      <w:r w:rsidRPr="0050207A">
        <w:rPr>
          <w:rFonts w:eastAsia="Times New Roman"/>
          <w:lang w:val="en-GB"/>
        </w:rPr>
        <w:t>a likely risk of physical harm, such as by an abusive ex-partner</w:t>
      </w:r>
    </w:p>
    <w:p w14:paraId="0E824D9D" w14:textId="77777777" w:rsidR="007D03AC" w:rsidRPr="0050207A" w:rsidRDefault="007D03AC" w:rsidP="007D03AC">
      <w:pPr>
        <w:numPr>
          <w:ilvl w:val="0"/>
          <w:numId w:val="15"/>
        </w:numPr>
        <w:spacing w:before="100" w:beforeAutospacing="1" w:after="100" w:afterAutospacing="1" w:line="240" w:lineRule="auto"/>
        <w:rPr>
          <w:rFonts w:eastAsia="Times New Roman"/>
          <w:lang w:val="en-GB"/>
        </w:rPr>
      </w:pPr>
      <w:r w:rsidRPr="0050207A">
        <w:rPr>
          <w:rFonts w:eastAsia="Times New Roman"/>
          <w:lang w:val="en-GB"/>
        </w:rPr>
        <w:lastRenderedPageBreak/>
        <w:t>serious psychological harm</w:t>
      </w:r>
    </w:p>
    <w:p w14:paraId="37E83A7B" w14:textId="77777777" w:rsidR="007D03AC" w:rsidRPr="0050207A" w:rsidRDefault="007D03AC" w:rsidP="007D03AC">
      <w:pPr>
        <w:numPr>
          <w:ilvl w:val="0"/>
          <w:numId w:val="15"/>
        </w:numPr>
        <w:spacing w:before="100" w:beforeAutospacing="1" w:after="100" w:afterAutospacing="1" w:line="240" w:lineRule="auto"/>
        <w:rPr>
          <w:rFonts w:eastAsia="Times New Roman"/>
          <w:lang w:val="en-GB"/>
        </w:rPr>
      </w:pPr>
      <w:r w:rsidRPr="0050207A">
        <w:rPr>
          <w:rFonts w:eastAsia="Times New Roman"/>
          <w:lang w:val="en-GB"/>
        </w:rPr>
        <w:t>serious harm to an individual’s reputation.</w:t>
      </w:r>
    </w:p>
    <w:p w14:paraId="63184E3C" w14:textId="297F4613" w:rsidR="007D03AC" w:rsidRPr="007E610D" w:rsidRDefault="007D03AC" w:rsidP="007D03AC">
      <w:pPr>
        <w:pStyle w:val="NormalWeb"/>
        <w:rPr>
          <w:rFonts w:asciiTheme="minorHAnsi" w:hAnsiTheme="minorHAnsi"/>
          <w:lang w:val="en-GB"/>
        </w:rPr>
      </w:pPr>
      <w:r w:rsidRPr="007E610D">
        <w:rPr>
          <w:rFonts w:asciiTheme="minorHAnsi" w:hAnsiTheme="minorHAnsi"/>
          <w:lang w:val="en-GB"/>
        </w:rPr>
        <w:t>[Service Name] will assess the risk of serious harm holistically. The following should be considered when assessing the likelihood of serious harm:</w:t>
      </w:r>
    </w:p>
    <w:p w14:paraId="367E2D90" w14:textId="77777777" w:rsidR="007D03AC" w:rsidRPr="0050207A" w:rsidRDefault="007D03AC" w:rsidP="007D03AC">
      <w:pPr>
        <w:pStyle w:val="NormalWeb"/>
        <w:numPr>
          <w:ilvl w:val="0"/>
          <w:numId w:val="12"/>
        </w:numPr>
        <w:spacing w:before="0" w:after="0"/>
        <w:ind w:left="1080"/>
        <w:rPr>
          <w:rFonts w:asciiTheme="minorHAnsi" w:hAnsiTheme="minorHAnsi"/>
          <w:lang w:val="en-GB"/>
        </w:rPr>
      </w:pPr>
      <w:r w:rsidRPr="0050207A">
        <w:rPr>
          <w:rFonts w:asciiTheme="minorHAnsi" w:hAnsiTheme="minorHAnsi"/>
          <w:lang w:val="en-GB"/>
        </w:rPr>
        <w:t>the type of information</w:t>
      </w:r>
    </w:p>
    <w:p w14:paraId="21A6B805" w14:textId="77777777" w:rsidR="007D03AC" w:rsidRPr="0050207A" w:rsidRDefault="007D03AC" w:rsidP="007D03AC">
      <w:pPr>
        <w:numPr>
          <w:ilvl w:val="0"/>
          <w:numId w:val="13"/>
        </w:numPr>
        <w:spacing w:after="0" w:line="240" w:lineRule="auto"/>
        <w:ind w:left="1080"/>
        <w:rPr>
          <w:lang w:val="en-GB"/>
        </w:rPr>
      </w:pPr>
      <w:r w:rsidRPr="0050207A">
        <w:rPr>
          <w:lang w:val="en-GB"/>
        </w:rPr>
        <w:t>the sensitivity of the information</w:t>
      </w:r>
    </w:p>
    <w:p w14:paraId="13EE4EF7" w14:textId="77777777" w:rsidR="007D03AC" w:rsidRPr="0050207A" w:rsidRDefault="007D03AC" w:rsidP="007D03AC">
      <w:pPr>
        <w:numPr>
          <w:ilvl w:val="0"/>
          <w:numId w:val="13"/>
        </w:numPr>
        <w:spacing w:before="100" w:beforeAutospacing="1" w:after="100" w:afterAutospacing="1" w:line="240" w:lineRule="auto"/>
        <w:ind w:left="1080"/>
        <w:rPr>
          <w:lang w:val="en-GB"/>
        </w:rPr>
      </w:pPr>
      <w:r w:rsidRPr="0050207A">
        <w:rPr>
          <w:lang w:val="en-GB"/>
        </w:rPr>
        <w:t>whether the information is protected by one or more security measures</w:t>
      </w:r>
    </w:p>
    <w:p w14:paraId="38582795" w14:textId="77777777" w:rsidR="007D03AC" w:rsidRPr="0050207A" w:rsidRDefault="007D03AC" w:rsidP="007D03AC">
      <w:pPr>
        <w:numPr>
          <w:ilvl w:val="0"/>
          <w:numId w:val="13"/>
        </w:numPr>
        <w:spacing w:before="100" w:beforeAutospacing="1" w:after="100" w:afterAutospacing="1" w:line="240" w:lineRule="auto"/>
        <w:ind w:left="1080"/>
        <w:rPr>
          <w:lang w:val="en-GB"/>
        </w:rPr>
      </w:pPr>
      <w:r w:rsidRPr="0050207A">
        <w:rPr>
          <w:lang w:val="en-GB"/>
        </w:rPr>
        <w:t>the likelihood that any of these security measures could be overcome (if the information is protected by one or more security measures)</w:t>
      </w:r>
    </w:p>
    <w:p w14:paraId="28F34E68" w14:textId="77777777" w:rsidR="007D03AC" w:rsidRPr="0050207A" w:rsidRDefault="007D03AC" w:rsidP="007D03AC">
      <w:pPr>
        <w:numPr>
          <w:ilvl w:val="0"/>
          <w:numId w:val="13"/>
        </w:numPr>
        <w:spacing w:before="100" w:beforeAutospacing="1" w:after="100" w:afterAutospacing="1" w:line="240" w:lineRule="auto"/>
        <w:ind w:left="1080"/>
        <w:rPr>
          <w:lang w:val="en-GB"/>
        </w:rPr>
      </w:pPr>
      <w:r w:rsidRPr="0050207A">
        <w:rPr>
          <w:lang w:val="en-GB"/>
        </w:rPr>
        <w:t>the persons who have obtained, or who could obtain, the information</w:t>
      </w:r>
    </w:p>
    <w:p w14:paraId="1913A601" w14:textId="77777777" w:rsidR="007D03AC" w:rsidRPr="0050207A" w:rsidRDefault="007D03AC" w:rsidP="007D03AC">
      <w:pPr>
        <w:numPr>
          <w:ilvl w:val="0"/>
          <w:numId w:val="13"/>
        </w:numPr>
        <w:spacing w:before="100" w:beforeAutospacing="1" w:after="100" w:afterAutospacing="1" w:line="240" w:lineRule="auto"/>
        <w:ind w:left="1080"/>
        <w:rPr>
          <w:lang w:val="en-GB"/>
        </w:rPr>
      </w:pPr>
      <w:r w:rsidRPr="0050207A">
        <w:rPr>
          <w:lang w:val="en-GB"/>
        </w:rPr>
        <w:t>the likelihood that harm will occur to any of the individuals to whom the information relates</w:t>
      </w:r>
    </w:p>
    <w:p w14:paraId="21D42D03" w14:textId="77777777" w:rsidR="007D03AC" w:rsidRPr="0050207A" w:rsidRDefault="007D03AC" w:rsidP="007D03AC">
      <w:pPr>
        <w:numPr>
          <w:ilvl w:val="0"/>
          <w:numId w:val="13"/>
        </w:numPr>
        <w:spacing w:before="100" w:beforeAutospacing="1" w:after="100" w:afterAutospacing="1" w:line="240" w:lineRule="auto"/>
        <w:ind w:left="1080"/>
        <w:rPr>
          <w:lang w:val="en-GB"/>
        </w:rPr>
      </w:pPr>
      <w:r w:rsidRPr="0050207A">
        <w:rPr>
          <w:lang w:val="en-GB"/>
        </w:rPr>
        <w:t xml:space="preserve">the nature of the harm. </w:t>
      </w:r>
    </w:p>
    <w:p w14:paraId="63CF8BDA" w14:textId="77777777" w:rsidR="007D03AC" w:rsidRPr="0050207A" w:rsidRDefault="007D03AC" w:rsidP="007D03AC">
      <w:pPr>
        <w:pStyle w:val="ListParagraph"/>
        <w:numPr>
          <w:ilvl w:val="0"/>
          <w:numId w:val="20"/>
        </w:numPr>
        <w:spacing w:after="200" w:line="240" w:lineRule="auto"/>
        <w:ind w:left="360"/>
        <w:rPr>
          <w:rFonts w:eastAsia="Times New Roman"/>
          <w:b/>
          <w:i/>
          <w:lang w:val="en-GB"/>
        </w:rPr>
      </w:pPr>
      <w:r w:rsidRPr="0050207A">
        <w:rPr>
          <w:b/>
          <w:lang w:val="en-GB"/>
        </w:rPr>
        <w:t>Preventing serious harm with remedial action—'</w:t>
      </w:r>
      <w:r w:rsidRPr="0050207A">
        <w:rPr>
          <w:lang w:val="en-GB"/>
        </w:rPr>
        <w:t xml:space="preserve">remedial action’ signifies taking steps to prevent the unauthorised access or disclosure of personal information. </w:t>
      </w:r>
    </w:p>
    <w:p w14:paraId="2C351A24" w14:textId="77777777" w:rsidR="007D03AC" w:rsidRPr="00C36575" w:rsidRDefault="007D03AC" w:rsidP="007D03AC">
      <w:pPr>
        <w:pStyle w:val="NormalWeb"/>
        <w:ind w:left="360"/>
        <w:rPr>
          <w:rFonts w:asciiTheme="minorHAnsi" w:hAnsiTheme="minorHAnsi"/>
          <w:lang w:val="en-GB"/>
        </w:rPr>
      </w:pPr>
      <w:r w:rsidRPr="00C36575">
        <w:rPr>
          <w:rFonts w:asciiTheme="minorHAnsi" w:hAnsiTheme="minorHAnsi"/>
          <w:lang w:val="en-GB"/>
        </w:rPr>
        <w:t xml:space="preserve">If the remedial action prevents the likelihood of serious harm to individual(s), then notification of a potential data breach is not required, as the breach has been prevented. </w:t>
      </w:r>
    </w:p>
    <w:p w14:paraId="0C3898CB" w14:textId="77777777" w:rsidR="007D03AC" w:rsidRPr="0050207A" w:rsidRDefault="007D03AC" w:rsidP="007D03AC">
      <w:pPr>
        <w:spacing w:before="100" w:beforeAutospacing="1" w:after="100" w:afterAutospacing="1"/>
        <w:ind w:left="360"/>
        <w:rPr>
          <w:lang w:val="en-GB"/>
        </w:rPr>
      </w:pPr>
      <w:r w:rsidRPr="0050207A">
        <w:rPr>
          <w:lang w:val="en-GB"/>
        </w:rPr>
        <w:t>Examples of remedial action include</w:t>
      </w:r>
    </w:p>
    <w:p w14:paraId="724A62AF" w14:textId="77777777" w:rsidR="007D03AC" w:rsidRPr="0050207A" w:rsidRDefault="007D03AC" w:rsidP="007D03AC">
      <w:pPr>
        <w:pStyle w:val="ListParagraph"/>
        <w:numPr>
          <w:ilvl w:val="0"/>
          <w:numId w:val="16"/>
        </w:numPr>
        <w:spacing w:before="100" w:beforeAutospacing="1" w:after="100" w:afterAutospacing="1" w:line="240" w:lineRule="auto"/>
        <w:rPr>
          <w:lang w:val="en-GB"/>
        </w:rPr>
      </w:pPr>
      <w:r w:rsidRPr="0050207A">
        <w:rPr>
          <w:lang w:val="en-GB"/>
        </w:rPr>
        <w:t>contacting external agencies and requesting information to be deleted if personal information is accidentally sent</w:t>
      </w:r>
    </w:p>
    <w:p w14:paraId="2AB8C398" w14:textId="77777777" w:rsidR="007D03AC" w:rsidRDefault="007D03AC" w:rsidP="007D03AC">
      <w:pPr>
        <w:pStyle w:val="ListParagraph"/>
        <w:numPr>
          <w:ilvl w:val="0"/>
          <w:numId w:val="16"/>
        </w:numPr>
        <w:spacing w:before="100" w:beforeAutospacing="1" w:after="120" w:line="240" w:lineRule="auto"/>
        <w:rPr>
          <w:lang w:val="en-GB"/>
        </w:rPr>
      </w:pPr>
      <w:r w:rsidRPr="0050207A">
        <w:rPr>
          <w:lang w:val="en-GB"/>
        </w:rPr>
        <w:t>applying technology to delete content if a smartphone device is lost.</w:t>
      </w:r>
    </w:p>
    <w:p w14:paraId="0D3466FA" w14:textId="77777777" w:rsidR="007D03AC" w:rsidRPr="00B5410D" w:rsidRDefault="007D03AC" w:rsidP="007D03AC">
      <w:pPr>
        <w:pStyle w:val="ListParagraph"/>
        <w:spacing w:before="100" w:beforeAutospacing="1"/>
        <w:ind w:left="1074"/>
        <w:rPr>
          <w:lang w:val="en-GB"/>
        </w:rPr>
      </w:pPr>
    </w:p>
    <w:p w14:paraId="2E5F469C" w14:textId="77777777" w:rsidR="007D03AC" w:rsidRPr="00C36575" w:rsidRDefault="007D03AC" w:rsidP="007D03AC">
      <w:pPr>
        <w:pStyle w:val="ListParagraph"/>
        <w:numPr>
          <w:ilvl w:val="0"/>
          <w:numId w:val="20"/>
        </w:numPr>
        <w:spacing w:before="120" w:after="200" w:line="240" w:lineRule="auto"/>
        <w:ind w:left="360"/>
        <w:rPr>
          <w:iCs/>
          <w:lang w:val="en-GB"/>
        </w:rPr>
      </w:pPr>
      <w:r w:rsidRPr="0050207A">
        <w:rPr>
          <w:b/>
          <w:bCs/>
          <w:lang w:val="en-GB"/>
        </w:rPr>
        <w:t>Response plan</w:t>
      </w:r>
      <w:r w:rsidRPr="0050207A">
        <w:rPr>
          <w:lang w:val="en-GB"/>
        </w:rPr>
        <w:t>—The flowchart below can be used when responding to data breaches. The diagram is sourced from the OA</w:t>
      </w:r>
      <w:r>
        <w:rPr>
          <w:lang w:val="en-GB"/>
        </w:rPr>
        <w:t>I</w:t>
      </w:r>
      <w:r w:rsidRPr="0050207A">
        <w:rPr>
          <w:lang w:val="en-GB"/>
        </w:rPr>
        <w:t xml:space="preserve">C Guide to Managing </w:t>
      </w:r>
      <w:r>
        <w:rPr>
          <w:lang w:val="en-GB"/>
        </w:rPr>
        <w:t>D</w:t>
      </w:r>
      <w:r w:rsidRPr="0050207A">
        <w:rPr>
          <w:lang w:val="en-GB"/>
        </w:rPr>
        <w:t xml:space="preserve">ata </w:t>
      </w:r>
      <w:r>
        <w:rPr>
          <w:lang w:val="en-GB"/>
        </w:rPr>
        <w:t>B</w:t>
      </w:r>
      <w:r w:rsidRPr="0050207A">
        <w:rPr>
          <w:lang w:val="en-GB"/>
        </w:rPr>
        <w:t xml:space="preserve">reaches in accordance with the </w:t>
      </w:r>
      <w:r w:rsidRPr="00C36575">
        <w:rPr>
          <w:iCs/>
          <w:lang w:val="en-GB"/>
        </w:rPr>
        <w:t>Privacy Act 1988 (Cwlth).</w:t>
      </w:r>
    </w:p>
    <w:p w14:paraId="18249495" w14:textId="77777777" w:rsidR="007D03AC" w:rsidRPr="0050207A" w:rsidRDefault="007D03AC" w:rsidP="007D03AC">
      <w:pPr>
        <w:rPr>
          <w:lang w:val="en-GB"/>
        </w:rPr>
      </w:pPr>
      <w:r w:rsidRPr="008466AF">
        <w:rPr>
          <w:noProof/>
          <w:lang w:eastAsia="en-AU"/>
        </w:rPr>
        <w:lastRenderedPageBreak/>
        <w:drawing>
          <wp:inline distT="0" distB="0" distL="0" distR="0" wp14:anchorId="6CC7F2E1" wp14:editId="4DBD8D43">
            <wp:extent cx="5839742" cy="8446770"/>
            <wp:effectExtent l="0" t="0" r="8890" b="0"/>
            <wp:docPr id="38" name="Picture 38" descr="https://www.oaic.gov.au/resources/privacy-law/privacy-act/notifiable-data-breaches-scheme/flowchart-n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aic.gov.au/resources/privacy-law/privacy-act/notifiable-data-breaches-scheme/flowchart-nd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9742" cy="8446770"/>
                    </a:xfrm>
                    <a:prstGeom prst="rect">
                      <a:avLst/>
                    </a:prstGeom>
                    <a:noFill/>
                    <a:ln>
                      <a:noFill/>
                    </a:ln>
                  </pic:spPr>
                </pic:pic>
              </a:graphicData>
            </a:graphic>
          </wp:inline>
        </w:drawing>
      </w:r>
    </w:p>
    <w:p w14:paraId="4E64DDA9" w14:textId="7502314C" w:rsidR="007D03AC" w:rsidRPr="0050207A" w:rsidRDefault="007D03AC" w:rsidP="007D03AC">
      <w:pPr>
        <w:rPr>
          <w:lang w:val="en-GB"/>
        </w:rPr>
      </w:pPr>
      <w:r w:rsidRPr="0050207A">
        <w:rPr>
          <w:lang w:val="en-GB"/>
        </w:rPr>
        <w:lastRenderedPageBreak/>
        <w:t xml:space="preserve">The </w:t>
      </w:r>
      <w:r w:rsidR="00C36575">
        <w:rPr>
          <w:lang w:val="en-GB"/>
        </w:rPr>
        <w:t>[</w:t>
      </w:r>
      <w:r w:rsidR="005574D4">
        <w:rPr>
          <w:lang w:val="en-GB"/>
        </w:rPr>
        <w:t>Manager]</w:t>
      </w:r>
      <w:r>
        <w:rPr>
          <w:lang w:val="en-GB"/>
        </w:rPr>
        <w:t xml:space="preserve"> </w:t>
      </w:r>
      <w:r w:rsidRPr="0050207A">
        <w:rPr>
          <w:lang w:val="en-GB"/>
        </w:rPr>
        <w:t xml:space="preserve">will be responsible </w:t>
      </w:r>
      <w:r>
        <w:rPr>
          <w:lang w:val="en-GB"/>
        </w:rPr>
        <w:t xml:space="preserve">for </w:t>
      </w:r>
      <w:r w:rsidRPr="0050207A">
        <w:rPr>
          <w:lang w:val="en-GB"/>
        </w:rPr>
        <w:t>manag</w:t>
      </w:r>
      <w:r>
        <w:rPr>
          <w:lang w:val="en-GB"/>
        </w:rPr>
        <w:t>ing</w:t>
      </w:r>
      <w:r w:rsidRPr="0050207A">
        <w:rPr>
          <w:lang w:val="en-GB"/>
        </w:rPr>
        <w:t xml:space="preserve"> any data breach incidents. </w:t>
      </w:r>
      <w:r w:rsidRPr="0050207A">
        <w:rPr>
          <w:rFonts w:cs="Arial"/>
        </w:rPr>
        <w:t xml:space="preserve">The </w:t>
      </w:r>
      <w:r w:rsidR="005574D4">
        <w:rPr>
          <w:rFonts w:cs="Arial"/>
        </w:rPr>
        <w:t>[Manager]</w:t>
      </w:r>
      <w:r w:rsidRPr="0050207A">
        <w:rPr>
          <w:rFonts w:cs="Arial"/>
        </w:rPr>
        <w:t xml:space="preserve"> is responsible for assessing, investigating, </w:t>
      </w:r>
      <w:proofErr w:type="gramStart"/>
      <w:r w:rsidRPr="0050207A">
        <w:rPr>
          <w:rFonts w:cs="Arial"/>
        </w:rPr>
        <w:t>notifying</w:t>
      </w:r>
      <w:proofErr w:type="gramEnd"/>
      <w:r w:rsidRPr="0050207A">
        <w:rPr>
          <w:rFonts w:cs="Arial"/>
        </w:rPr>
        <w:t xml:space="preserve"> and reviewing data breaches. </w:t>
      </w:r>
    </w:p>
    <w:p w14:paraId="0E988BD1" w14:textId="77777777" w:rsidR="007D03AC" w:rsidRDefault="007D03AC" w:rsidP="007D03AC">
      <w:pPr>
        <w:rPr>
          <w:rFonts w:cs="Arial"/>
        </w:rPr>
      </w:pPr>
      <w:r w:rsidRPr="0050207A">
        <w:rPr>
          <w:rFonts w:cs="Arial"/>
        </w:rPr>
        <w:t xml:space="preserve">The following stages </w:t>
      </w:r>
      <w:r>
        <w:rPr>
          <w:rFonts w:cs="Arial"/>
        </w:rPr>
        <w:t xml:space="preserve">in Table 1 </w:t>
      </w:r>
      <w:r w:rsidRPr="0050207A">
        <w:rPr>
          <w:rFonts w:cs="Arial"/>
        </w:rPr>
        <w:t>are required when responding to a potential data breach</w:t>
      </w:r>
      <w:r>
        <w:rPr>
          <w:rFonts w:cs="Arial"/>
        </w:rPr>
        <w:t>.</w:t>
      </w:r>
      <w:r w:rsidRPr="0050207A">
        <w:rPr>
          <w:rFonts w:cs="Arial"/>
        </w:rPr>
        <w:t xml:space="preserve"> </w:t>
      </w:r>
    </w:p>
    <w:p w14:paraId="0D38883A" w14:textId="77777777" w:rsidR="007D03AC" w:rsidRPr="0050207A" w:rsidRDefault="007D03AC" w:rsidP="007D03AC">
      <w:pPr>
        <w:rPr>
          <w:rFonts w:cs="Arial"/>
        </w:rPr>
      </w:pPr>
      <w:r>
        <w:rPr>
          <w:rFonts w:cs="Arial"/>
        </w:rPr>
        <w:t>Table 1: Actions in Response to Data Breaches.</w:t>
      </w:r>
    </w:p>
    <w:tbl>
      <w:tblPr>
        <w:tblStyle w:val="TableGrid"/>
        <w:tblW w:w="0" w:type="auto"/>
        <w:tblLayout w:type="fixed"/>
        <w:tblLook w:val="04A0" w:firstRow="1" w:lastRow="0" w:firstColumn="1" w:lastColumn="0" w:noHBand="0" w:noVBand="1"/>
      </w:tblPr>
      <w:tblGrid>
        <w:gridCol w:w="1271"/>
        <w:gridCol w:w="7745"/>
      </w:tblGrid>
      <w:tr w:rsidR="007D03AC" w:rsidRPr="0050207A" w14:paraId="5CD143F4" w14:textId="77777777" w:rsidTr="006A5CDD">
        <w:tc>
          <w:tcPr>
            <w:tcW w:w="1271" w:type="dxa"/>
            <w:shd w:val="clear" w:color="auto" w:fill="D9D9D9" w:themeFill="background1" w:themeFillShade="D9"/>
          </w:tcPr>
          <w:p w14:paraId="4CCECE7E" w14:textId="77777777" w:rsidR="007D03AC" w:rsidRPr="001B26B7" w:rsidRDefault="007D03AC" w:rsidP="00B2159D">
            <w:pPr>
              <w:rPr>
                <w:rFonts w:cs="Arial"/>
                <w:b/>
                <w:color w:val="404040"/>
              </w:rPr>
            </w:pPr>
            <w:r w:rsidRPr="001B26B7">
              <w:rPr>
                <w:rFonts w:cs="Arial"/>
                <w:b/>
                <w:color w:val="404040"/>
              </w:rPr>
              <w:t xml:space="preserve">STAGE </w:t>
            </w:r>
          </w:p>
        </w:tc>
        <w:tc>
          <w:tcPr>
            <w:tcW w:w="7745" w:type="dxa"/>
            <w:shd w:val="clear" w:color="auto" w:fill="D9D9D9" w:themeFill="background1" w:themeFillShade="D9"/>
          </w:tcPr>
          <w:p w14:paraId="34D4A52B" w14:textId="77777777" w:rsidR="007D03AC" w:rsidRPr="001B26B7" w:rsidRDefault="007D03AC" w:rsidP="00B2159D">
            <w:pPr>
              <w:rPr>
                <w:rFonts w:cs="Arial"/>
                <w:b/>
                <w:color w:val="404040"/>
              </w:rPr>
            </w:pPr>
            <w:r w:rsidRPr="001B26B7">
              <w:rPr>
                <w:rFonts w:cs="Arial"/>
                <w:b/>
                <w:color w:val="404040"/>
              </w:rPr>
              <w:t>ACTION</w:t>
            </w:r>
          </w:p>
        </w:tc>
      </w:tr>
      <w:tr w:rsidR="007D03AC" w:rsidRPr="0050207A" w14:paraId="070E45F0" w14:textId="77777777" w:rsidTr="006A5CDD">
        <w:tc>
          <w:tcPr>
            <w:tcW w:w="1271" w:type="dxa"/>
            <w:shd w:val="clear" w:color="auto" w:fill="D9D9D9" w:themeFill="background1" w:themeFillShade="D9"/>
          </w:tcPr>
          <w:p w14:paraId="6328BF9B" w14:textId="77777777" w:rsidR="007D03AC" w:rsidRPr="001B26B7" w:rsidRDefault="007D03AC" w:rsidP="00B2159D">
            <w:pPr>
              <w:rPr>
                <w:rFonts w:cs="Arial"/>
              </w:rPr>
            </w:pPr>
            <w:r w:rsidRPr="001B26B7">
              <w:rPr>
                <w:rFonts w:cs="Arial"/>
              </w:rPr>
              <w:t xml:space="preserve">IDENTIFY </w:t>
            </w:r>
          </w:p>
        </w:tc>
        <w:tc>
          <w:tcPr>
            <w:tcW w:w="7745" w:type="dxa"/>
          </w:tcPr>
          <w:p w14:paraId="2D4B8097" w14:textId="77777777" w:rsidR="007D03AC" w:rsidRPr="001B26B7" w:rsidRDefault="007D03AC" w:rsidP="00B2159D">
            <w:pPr>
              <w:rPr>
                <w:rFonts w:cs="Arial"/>
              </w:rPr>
            </w:pPr>
            <w:r w:rsidRPr="001B26B7">
              <w:rPr>
                <w:rFonts w:cs="Arial"/>
              </w:rPr>
              <w:t xml:space="preserve">When staff have reason to believe that there has been a data breach, they should inform their </w:t>
            </w:r>
            <w:proofErr w:type="gramStart"/>
            <w:r w:rsidRPr="001B26B7">
              <w:rPr>
                <w:rFonts w:cs="Arial"/>
              </w:rPr>
              <w:t>Manager</w:t>
            </w:r>
            <w:proofErr w:type="gramEnd"/>
            <w:r w:rsidRPr="001B26B7">
              <w:rPr>
                <w:rFonts w:cs="Arial"/>
              </w:rPr>
              <w:t xml:space="preserve"> immediately. </w:t>
            </w:r>
          </w:p>
          <w:p w14:paraId="4490EE2E" w14:textId="77777777" w:rsidR="007D03AC" w:rsidRPr="001B26B7" w:rsidRDefault="007D03AC" w:rsidP="00B2159D">
            <w:pPr>
              <w:rPr>
                <w:rFonts w:cs="Arial"/>
              </w:rPr>
            </w:pPr>
            <w:r w:rsidRPr="001B26B7">
              <w:rPr>
                <w:rFonts w:cs="Arial"/>
              </w:rPr>
              <w:t>Details such as when and how the breach was discovered, and by who, should be recorded in the Data Breach Incident Reporting form.</w:t>
            </w:r>
          </w:p>
        </w:tc>
      </w:tr>
      <w:tr w:rsidR="007D03AC" w:rsidRPr="0050207A" w14:paraId="2BF51E6B" w14:textId="77777777" w:rsidTr="006A5CDD">
        <w:tc>
          <w:tcPr>
            <w:tcW w:w="1271" w:type="dxa"/>
            <w:shd w:val="clear" w:color="auto" w:fill="D9D9D9" w:themeFill="background1" w:themeFillShade="D9"/>
          </w:tcPr>
          <w:p w14:paraId="499DB8E4" w14:textId="77777777" w:rsidR="007D03AC" w:rsidRPr="001B26B7" w:rsidRDefault="007D03AC" w:rsidP="00B2159D">
            <w:pPr>
              <w:rPr>
                <w:rFonts w:cs="Arial"/>
              </w:rPr>
            </w:pPr>
            <w:r w:rsidRPr="001B26B7">
              <w:rPr>
                <w:rFonts w:cs="Arial"/>
              </w:rPr>
              <w:t xml:space="preserve">CONTAIN </w:t>
            </w:r>
          </w:p>
        </w:tc>
        <w:tc>
          <w:tcPr>
            <w:tcW w:w="7745" w:type="dxa"/>
          </w:tcPr>
          <w:p w14:paraId="42CADF37" w14:textId="77777777" w:rsidR="007D03AC" w:rsidRPr="001B26B7" w:rsidRDefault="007D03AC" w:rsidP="00B2159D">
            <w:pPr>
              <w:rPr>
                <w:rFonts w:cs="Arial"/>
              </w:rPr>
            </w:pPr>
            <w:r w:rsidRPr="001B26B7">
              <w:rPr>
                <w:rFonts w:cs="Arial"/>
              </w:rPr>
              <w:t>As soon as a breach or suspected breach has been identified, any steps to contain or limit the potential harm should be taken. This may include shutting down a system that has been breached or recovering any records.</w:t>
            </w:r>
          </w:p>
          <w:p w14:paraId="7BE21964" w14:textId="77777777" w:rsidR="007D03AC" w:rsidRPr="001B26B7" w:rsidRDefault="007D03AC" w:rsidP="00B2159D">
            <w:pPr>
              <w:rPr>
                <w:rFonts w:cs="Arial"/>
              </w:rPr>
            </w:pPr>
            <w:r w:rsidRPr="001B26B7">
              <w:rPr>
                <w:rFonts w:cs="Arial"/>
              </w:rPr>
              <w:t xml:space="preserve">The staff member who discovers the breach, in consultation with his or her manager, will complete a preliminary assessment of the breach and take any immediate action to contain the breach, if possible. </w:t>
            </w:r>
          </w:p>
        </w:tc>
      </w:tr>
      <w:tr w:rsidR="007D03AC" w:rsidRPr="0050207A" w14:paraId="11983C69" w14:textId="77777777" w:rsidTr="006A5CDD">
        <w:tc>
          <w:tcPr>
            <w:tcW w:w="1271" w:type="dxa"/>
            <w:shd w:val="clear" w:color="auto" w:fill="D9D9D9" w:themeFill="background1" w:themeFillShade="D9"/>
          </w:tcPr>
          <w:p w14:paraId="759CC9E8" w14:textId="77777777" w:rsidR="007D03AC" w:rsidRPr="001B26B7" w:rsidRDefault="007D03AC" w:rsidP="00B2159D">
            <w:pPr>
              <w:rPr>
                <w:rFonts w:cs="Arial"/>
              </w:rPr>
            </w:pPr>
            <w:r w:rsidRPr="001B26B7">
              <w:rPr>
                <w:rFonts w:cs="Arial"/>
              </w:rPr>
              <w:t>ASSESS</w:t>
            </w:r>
          </w:p>
        </w:tc>
        <w:tc>
          <w:tcPr>
            <w:tcW w:w="7745" w:type="dxa"/>
          </w:tcPr>
          <w:p w14:paraId="1AFABDB9" w14:textId="77777777" w:rsidR="007D03AC" w:rsidRPr="001B26B7" w:rsidRDefault="007D03AC" w:rsidP="00B2159D">
            <w:pPr>
              <w:pStyle w:val="NormalWeb"/>
              <w:rPr>
                <w:rFonts w:asciiTheme="minorHAnsi" w:hAnsiTheme="minorHAnsi"/>
              </w:rPr>
            </w:pPr>
            <w:r w:rsidRPr="001B26B7">
              <w:rPr>
                <w:rFonts w:asciiTheme="minorHAnsi" w:hAnsiTheme="minorHAnsi"/>
              </w:rPr>
              <w:t xml:space="preserve">The three-stage process below is suggested by the OAIC: </w:t>
            </w:r>
          </w:p>
          <w:p w14:paraId="204D202D" w14:textId="77777777" w:rsidR="007D03AC" w:rsidRPr="001B26B7" w:rsidRDefault="007D03AC" w:rsidP="00B2159D">
            <w:pPr>
              <w:pStyle w:val="NormalWeb"/>
              <w:rPr>
                <w:rFonts w:asciiTheme="minorHAnsi" w:hAnsiTheme="minorHAnsi"/>
              </w:rPr>
            </w:pPr>
            <w:r w:rsidRPr="001B26B7">
              <w:rPr>
                <w:rStyle w:val="Strong"/>
                <w:rFonts w:asciiTheme="minorHAnsi" w:eastAsia="Calibri" w:hAnsiTheme="minorHAnsi"/>
              </w:rPr>
              <w:t>Initiate</w:t>
            </w:r>
            <w:r w:rsidRPr="001B26B7">
              <w:t>—</w:t>
            </w:r>
            <w:r w:rsidRPr="001B26B7">
              <w:rPr>
                <w:rFonts w:asciiTheme="minorHAnsi" w:hAnsiTheme="minorHAnsi"/>
              </w:rPr>
              <w:t xml:space="preserve">decide whether an assessment is necessary and identify which person or group will be responsible for performing it. </w:t>
            </w:r>
          </w:p>
          <w:p w14:paraId="49D81A24" w14:textId="77777777" w:rsidR="007D03AC" w:rsidRPr="001B26B7" w:rsidRDefault="007D03AC" w:rsidP="00B2159D">
            <w:pPr>
              <w:pStyle w:val="NormalWeb"/>
              <w:rPr>
                <w:rFonts w:asciiTheme="minorHAnsi" w:hAnsiTheme="minorHAnsi"/>
              </w:rPr>
            </w:pPr>
            <w:r w:rsidRPr="001B26B7">
              <w:rPr>
                <w:rStyle w:val="Strong"/>
                <w:rFonts w:asciiTheme="minorHAnsi" w:eastAsia="Calibri" w:hAnsiTheme="minorHAnsi"/>
              </w:rPr>
              <w:t>Investigate—</w:t>
            </w:r>
            <w:r w:rsidRPr="001B26B7">
              <w:rPr>
                <w:rFonts w:asciiTheme="minorHAnsi" w:hAnsiTheme="minorHAnsi"/>
              </w:rPr>
              <w:t>quickly gather relevant information about the suspected breach, including what personal information is affected, who may have had access to the information and the likely e</w:t>
            </w:r>
            <w:r w:rsidRPr="001B26B7">
              <w:t>ffects</w:t>
            </w:r>
            <w:r w:rsidRPr="001B26B7">
              <w:rPr>
                <w:rFonts w:asciiTheme="minorHAnsi" w:hAnsiTheme="minorHAnsi"/>
              </w:rPr>
              <w:t>.</w:t>
            </w:r>
          </w:p>
          <w:p w14:paraId="026FAEF9" w14:textId="77777777" w:rsidR="007D03AC" w:rsidRPr="001B26B7" w:rsidRDefault="007D03AC" w:rsidP="00302DFA">
            <w:pPr>
              <w:pStyle w:val="NormalWeb"/>
              <w:spacing w:before="240" w:after="240"/>
              <w:rPr>
                <w:rFonts w:asciiTheme="minorHAnsi" w:hAnsiTheme="minorHAnsi"/>
              </w:rPr>
            </w:pPr>
            <w:r w:rsidRPr="001B26B7">
              <w:rPr>
                <w:rStyle w:val="Strong"/>
                <w:rFonts w:asciiTheme="minorHAnsi" w:eastAsia="Calibri" w:hAnsiTheme="minorHAnsi"/>
              </w:rPr>
              <w:t>Evaluate</w:t>
            </w:r>
            <w:r w:rsidRPr="001B26B7">
              <w:rPr>
                <w:rFonts w:asciiTheme="minorHAnsi" w:hAnsiTheme="minorHAnsi"/>
              </w:rPr>
              <w:t>—</w:t>
            </w:r>
            <w:proofErr w:type="gramStart"/>
            <w:r w:rsidRPr="001B26B7">
              <w:rPr>
                <w:rFonts w:asciiTheme="minorHAnsi" w:hAnsiTheme="minorHAnsi"/>
              </w:rPr>
              <w:t>make a decision</w:t>
            </w:r>
            <w:proofErr w:type="gramEnd"/>
            <w:r w:rsidRPr="001B26B7">
              <w:rPr>
                <w:rFonts w:asciiTheme="minorHAnsi" w:hAnsiTheme="minorHAnsi"/>
              </w:rPr>
              <w:t xml:space="preserve"> based on the investigation about whether the identified breach is an eligible data breach.</w:t>
            </w:r>
          </w:p>
        </w:tc>
      </w:tr>
      <w:tr w:rsidR="007D03AC" w:rsidRPr="0050207A" w14:paraId="707FCBE8" w14:textId="77777777" w:rsidTr="006A5CDD">
        <w:tc>
          <w:tcPr>
            <w:tcW w:w="1271" w:type="dxa"/>
            <w:shd w:val="clear" w:color="auto" w:fill="D9D9D9" w:themeFill="background1" w:themeFillShade="D9"/>
          </w:tcPr>
          <w:p w14:paraId="1852333C" w14:textId="77777777" w:rsidR="007D03AC" w:rsidRPr="001B26B7" w:rsidRDefault="007D03AC" w:rsidP="00B2159D">
            <w:pPr>
              <w:rPr>
                <w:rFonts w:cs="Arial"/>
                <w:b/>
              </w:rPr>
            </w:pPr>
          </w:p>
        </w:tc>
        <w:tc>
          <w:tcPr>
            <w:tcW w:w="7745" w:type="dxa"/>
          </w:tcPr>
          <w:p w14:paraId="248439EC" w14:textId="77777777" w:rsidR="007D03AC" w:rsidRPr="001B26B7" w:rsidRDefault="007D03AC" w:rsidP="00B2159D">
            <w:pPr>
              <w:rPr>
                <w:rFonts w:cs="Arial"/>
              </w:rPr>
            </w:pPr>
            <w:r w:rsidRPr="001B26B7">
              <w:rPr>
                <w:rFonts w:cs="Arial"/>
              </w:rPr>
              <w:t>To evaluate whether a known data breach is notifiable, consider the following three questions:</w:t>
            </w:r>
          </w:p>
          <w:p w14:paraId="7FAEE441" w14:textId="77777777" w:rsidR="007D03AC" w:rsidRPr="001B26B7" w:rsidRDefault="007D03AC" w:rsidP="007D03AC">
            <w:pPr>
              <w:pStyle w:val="ListParagraph"/>
              <w:numPr>
                <w:ilvl w:val="0"/>
                <w:numId w:val="18"/>
              </w:numPr>
              <w:rPr>
                <w:rFonts w:cs="Arial"/>
              </w:rPr>
            </w:pPr>
            <w:r w:rsidRPr="001B26B7">
              <w:rPr>
                <w:rFonts w:cs="Arial"/>
              </w:rPr>
              <w:t xml:space="preserve">Has there been unauthorised access, unauthorised disclosure, accidental </w:t>
            </w:r>
            <w:proofErr w:type="gramStart"/>
            <w:r w:rsidRPr="001B26B7">
              <w:rPr>
                <w:rFonts w:cs="Arial"/>
              </w:rPr>
              <w:t>loss</w:t>
            </w:r>
            <w:proofErr w:type="gramEnd"/>
            <w:r w:rsidRPr="001B26B7">
              <w:rPr>
                <w:rFonts w:cs="Arial"/>
              </w:rPr>
              <w:t xml:space="preserve"> or theft of personal information that the organisation holds? </w:t>
            </w:r>
          </w:p>
          <w:p w14:paraId="7377836D" w14:textId="77777777" w:rsidR="007D03AC" w:rsidRPr="001B26B7" w:rsidRDefault="007D03AC" w:rsidP="007D03AC">
            <w:pPr>
              <w:pStyle w:val="ListParagraph"/>
              <w:numPr>
                <w:ilvl w:val="0"/>
                <w:numId w:val="18"/>
              </w:numPr>
              <w:rPr>
                <w:rFonts w:cs="Arial"/>
              </w:rPr>
            </w:pPr>
            <w:r w:rsidRPr="001B26B7">
              <w:rPr>
                <w:rFonts w:cs="Arial"/>
              </w:rPr>
              <w:t xml:space="preserve">Is it </w:t>
            </w:r>
            <w:r w:rsidRPr="001B26B7">
              <w:rPr>
                <w:rFonts w:cs="Arial"/>
                <w:i/>
              </w:rPr>
              <w:t>likely</w:t>
            </w:r>
            <w:r w:rsidRPr="001B26B7">
              <w:rPr>
                <w:rFonts w:cs="Arial"/>
              </w:rPr>
              <w:t xml:space="preserve"> that this may result in </w:t>
            </w:r>
            <w:r w:rsidRPr="001B26B7">
              <w:rPr>
                <w:rFonts w:cs="Arial"/>
                <w:i/>
                <w:iCs/>
              </w:rPr>
              <w:t>serious</w:t>
            </w:r>
            <w:r w:rsidRPr="001B26B7">
              <w:rPr>
                <w:rFonts w:cs="Arial"/>
              </w:rPr>
              <w:t xml:space="preserve"> harm to individual(s) whose data has been breached? </w:t>
            </w:r>
          </w:p>
          <w:p w14:paraId="4AF9E981" w14:textId="77777777" w:rsidR="007D03AC" w:rsidRPr="001B26B7" w:rsidRDefault="007D03AC" w:rsidP="007D03AC">
            <w:pPr>
              <w:pStyle w:val="ListParagraph"/>
              <w:numPr>
                <w:ilvl w:val="0"/>
                <w:numId w:val="18"/>
              </w:numPr>
              <w:rPr>
                <w:rFonts w:cs="Arial"/>
              </w:rPr>
            </w:pPr>
            <w:r w:rsidRPr="001B26B7">
              <w:rPr>
                <w:rFonts w:cs="Arial"/>
              </w:rPr>
              <w:t>Does the likelihood of serious harm remain despite taking available remedial action?</w:t>
            </w:r>
          </w:p>
        </w:tc>
      </w:tr>
      <w:tr w:rsidR="007D03AC" w:rsidRPr="0050207A" w14:paraId="7C7228D7" w14:textId="77777777" w:rsidTr="006A5CDD">
        <w:tc>
          <w:tcPr>
            <w:tcW w:w="1271" w:type="dxa"/>
            <w:shd w:val="clear" w:color="auto" w:fill="D9D9D9" w:themeFill="background1" w:themeFillShade="D9"/>
          </w:tcPr>
          <w:p w14:paraId="71BE7F82" w14:textId="77777777" w:rsidR="007D03AC" w:rsidRPr="001B26B7" w:rsidRDefault="007D03AC" w:rsidP="00B2159D">
            <w:pPr>
              <w:rPr>
                <w:rFonts w:cs="Arial"/>
                <w:b/>
              </w:rPr>
            </w:pPr>
          </w:p>
        </w:tc>
        <w:tc>
          <w:tcPr>
            <w:tcW w:w="7745" w:type="dxa"/>
          </w:tcPr>
          <w:p w14:paraId="342EA4B9" w14:textId="77777777" w:rsidR="007D03AC" w:rsidRPr="001B26B7" w:rsidRDefault="007D03AC" w:rsidP="00B2159D">
            <w:pPr>
              <w:rPr>
                <w:rFonts w:cs="Arial"/>
              </w:rPr>
            </w:pPr>
            <w:r w:rsidRPr="001B26B7">
              <w:rPr>
                <w:rFonts w:cs="Arial"/>
              </w:rPr>
              <w:t xml:space="preserve">If answers to the above three questions are yes, then the breach classifies as an eligible data breach and organisations are required to notify the OAIC and any affected individuals. </w:t>
            </w:r>
          </w:p>
        </w:tc>
      </w:tr>
      <w:tr w:rsidR="007D03AC" w:rsidRPr="0050207A" w14:paraId="4E0DD146" w14:textId="77777777" w:rsidTr="006A5CDD">
        <w:tc>
          <w:tcPr>
            <w:tcW w:w="1271" w:type="dxa"/>
            <w:shd w:val="clear" w:color="auto" w:fill="D9D9D9" w:themeFill="background1" w:themeFillShade="D9"/>
          </w:tcPr>
          <w:p w14:paraId="4295C5ED" w14:textId="77777777" w:rsidR="007D03AC" w:rsidRPr="001B26B7" w:rsidRDefault="007D03AC" w:rsidP="00B2159D">
            <w:pPr>
              <w:rPr>
                <w:rFonts w:cs="Arial"/>
              </w:rPr>
            </w:pPr>
            <w:r w:rsidRPr="001B26B7">
              <w:rPr>
                <w:rFonts w:cs="Arial"/>
              </w:rPr>
              <w:t xml:space="preserve">REMEDIAL ACTION </w:t>
            </w:r>
          </w:p>
        </w:tc>
        <w:tc>
          <w:tcPr>
            <w:tcW w:w="7745" w:type="dxa"/>
          </w:tcPr>
          <w:p w14:paraId="06D6FED3" w14:textId="77777777" w:rsidR="007D03AC" w:rsidRPr="001B26B7" w:rsidRDefault="007D03AC" w:rsidP="00B2159D">
            <w:pPr>
              <w:rPr>
                <w:rFonts w:cs="Arial"/>
              </w:rPr>
            </w:pPr>
            <w:r w:rsidRPr="001B26B7">
              <w:rPr>
                <w:rFonts w:cs="Arial"/>
              </w:rPr>
              <w:t xml:space="preserve">Remedial action can be taken at any point throughout the data breach response process. </w:t>
            </w:r>
          </w:p>
          <w:p w14:paraId="00FAA372" w14:textId="77777777" w:rsidR="007D03AC" w:rsidRPr="001B26B7" w:rsidRDefault="007D03AC" w:rsidP="00B2159D">
            <w:pPr>
              <w:rPr>
                <w:rFonts w:cs="Arial"/>
              </w:rPr>
            </w:pPr>
            <w:r w:rsidRPr="001B26B7">
              <w:rPr>
                <w:rFonts w:cs="Arial"/>
              </w:rPr>
              <w:t xml:space="preserve">The process of any remedial action should be documented, ensuring that any rationale and reasoning for why a certain conclusion has been made is documented. </w:t>
            </w:r>
          </w:p>
          <w:p w14:paraId="2A5D0822" w14:textId="77777777" w:rsidR="007D03AC" w:rsidRPr="001B26B7" w:rsidRDefault="007D03AC" w:rsidP="00B2159D">
            <w:pPr>
              <w:rPr>
                <w:rFonts w:cs="Arial"/>
              </w:rPr>
            </w:pPr>
            <w:r w:rsidRPr="001B26B7">
              <w:rPr>
                <w:rFonts w:cs="Arial"/>
              </w:rPr>
              <w:t>If the risk of harm is reduced so that it is unlikely to occur, or it is non-serious, after the remedial action has been taken, then there is no requirement to notify.</w:t>
            </w:r>
          </w:p>
        </w:tc>
      </w:tr>
      <w:tr w:rsidR="007D03AC" w:rsidRPr="0050207A" w14:paraId="1AFBC6D0" w14:textId="77777777" w:rsidTr="006A5CDD">
        <w:tc>
          <w:tcPr>
            <w:tcW w:w="1271" w:type="dxa"/>
            <w:shd w:val="clear" w:color="auto" w:fill="D9D9D9" w:themeFill="background1" w:themeFillShade="D9"/>
          </w:tcPr>
          <w:p w14:paraId="0322565E" w14:textId="77777777" w:rsidR="007D03AC" w:rsidRPr="001B26B7" w:rsidRDefault="007D03AC" w:rsidP="00B2159D">
            <w:pPr>
              <w:rPr>
                <w:rFonts w:cs="Arial"/>
              </w:rPr>
            </w:pPr>
            <w:r w:rsidRPr="001B26B7">
              <w:rPr>
                <w:rFonts w:cs="Arial"/>
              </w:rPr>
              <w:t>NOTIFY</w:t>
            </w:r>
          </w:p>
        </w:tc>
        <w:tc>
          <w:tcPr>
            <w:tcW w:w="7745" w:type="dxa"/>
          </w:tcPr>
          <w:p w14:paraId="57580D8B" w14:textId="77777777" w:rsidR="007D03AC" w:rsidRPr="001B26B7" w:rsidRDefault="007D03AC" w:rsidP="00B2159D">
            <w:pPr>
              <w:rPr>
                <w:rFonts w:cs="Arial"/>
              </w:rPr>
            </w:pPr>
            <w:r w:rsidRPr="001B26B7">
              <w:rPr>
                <w:rFonts w:cs="Arial"/>
              </w:rPr>
              <w:t>Once a breach has been assessed as eligible, the OAIC should be notified as soon as practicable. Notification must include the following information as a minimum:</w:t>
            </w:r>
          </w:p>
          <w:p w14:paraId="680C6C95" w14:textId="77777777" w:rsidR="007D03AC" w:rsidRPr="001B26B7" w:rsidRDefault="007D03AC" w:rsidP="007D03AC">
            <w:pPr>
              <w:pStyle w:val="ListParagraph"/>
              <w:numPr>
                <w:ilvl w:val="0"/>
                <w:numId w:val="18"/>
              </w:numPr>
              <w:rPr>
                <w:rFonts w:cs="Arial"/>
              </w:rPr>
            </w:pPr>
            <w:r w:rsidRPr="001B26B7">
              <w:rPr>
                <w:rFonts w:cs="Arial"/>
              </w:rPr>
              <w:t>the organisation’s name and contact details</w:t>
            </w:r>
          </w:p>
          <w:p w14:paraId="3FAE6DDD" w14:textId="77777777" w:rsidR="007D03AC" w:rsidRPr="001B26B7" w:rsidRDefault="007D03AC" w:rsidP="007D03AC">
            <w:pPr>
              <w:pStyle w:val="ListParagraph"/>
              <w:numPr>
                <w:ilvl w:val="0"/>
                <w:numId w:val="18"/>
              </w:numPr>
              <w:rPr>
                <w:rFonts w:cs="Arial"/>
              </w:rPr>
            </w:pPr>
            <w:r w:rsidRPr="001B26B7">
              <w:rPr>
                <w:rFonts w:cs="Arial"/>
              </w:rPr>
              <w:t>a description of the data breach</w:t>
            </w:r>
          </w:p>
          <w:p w14:paraId="21B99A0B" w14:textId="77777777" w:rsidR="007D03AC" w:rsidRPr="001B26B7" w:rsidRDefault="007D03AC" w:rsidP="007D03AC">
            <w:pPr>
              <w:pStyle w:val="ListParagraph"/>
              <w:numPr>
                <w:ilvl w:val="0"/>
                <w:numId w:val="18"/>
              </w:numPr>
              <w:rPr>
                <w:rFonts w:cs="Arial"/>
              </w:rPr>
            </w:pPr>
            <w:r w:rsidRPr="001B26B7">
              <w:rPr>
                <w:rFonts w:cs="Arial"/>
              </w:rPr>
              <w:t>the type of information involved in the breach</w:t>
            </w:r>
          </w:p>
          <w:p w14:paraId="68575AE8" w14:textId="77777777" w:rsidR="007D03AC" w:rsidRPr="00F14874" w:rsidRDefault="007D03AC" w:rsidP="007D03AC">
            <w:pPr>
              <w:pStyle w:val="ListParagraph"/>
              <w:numPr>
                <w:ilvl w:val="0"/>
                <w:numId w:val="18"/>
              </w:numPr>
              <w:rPr>
                <w:rFonts w:cs="Arial"/>
              </w:rPr>
            </w:pPr>
            <w:r w:rsidRPr="001B26B7">
              <w:rPr>
                <w:rFonts w:cs="Arial"/>
              </w:rPr>
              <w:t>advice and recommendations for individuals to take in response.</w:t>
            </w:r>
          </w:p>
          <w:p w14:paraId="7A4757FC" w14:textId="7CC70CAB" w:rsidR="007D03AC" w:rsidRDefault="007D03AC" w:rsidP="00B2159D">
            <w:pPr>
              <w:rPr>
                <w:rFonts w:cs="Arial"/>
              </w:rPr>
            </w:pPr>
            <w:r w:rsidRPr="001B26B7">
              <w:rPr>
                <w:rFonts w:cs="Arial"/>
              </w:rPr>
              <w:lastRenderedPageBreak/>
              <w:t xml:space="preserve">The </w:t>
            </w:r>
            <w:r w:rsidR="006A5CDD">
              <w:rPr>
                <w:rFonts w:cs="Arial"/>
              </w:rPr>
              <w:t>[Manager]</w:t>
            </w:r>
            <w:r>
              <w:rPr>
                <w:rFonts w:cs="Arial"/>
              </w:rPr>
              <w:t xml:space="preserve"> </w:t>
            </w:r>
            <w:r w:rsidRPr="001B26B7">
              <w:rPr>
                <w:rFonts w:cs="Arial"/>
              </w:rPr>
              <w:t xml:space="preserve">is responsible for notifying and liaising with the OAIC for data breaches that have been assessed as eligible for the purposes of the NDB scheme. The </w:t>
            </w:r>
            <w:r w:rsidR="006A5CDD">
              <w:rPr>
                <w:rFonts w:cs="Arial"/>
              </w:rPr>
              <w:t>[Manager]</w:t>
            </w:r>
            <w:r w:rsidRPr="001B26B7">
              <w:rPr>
                <w:rFonts w:cs="Arial"/>
              </w:rPr>
              <w:t xml:space="preserve"> uses the OAIC’s Notifiable Data Breach Form</w:t>
            </w:r>
          </w:p>
          <w:p w14:paraId="1E07595B" w14:textId="77777777" w:rsidR="007D03AC" w:rsidRPr="00BF54BC" w:rsidRDefault="00FF16C9" w:rsidP="00B2159D">
            <w:pPr>
              <w:rPr>
                <w:rFonts w:cs="Arial"/>
              </w:rPr>
            </w:pPr>
            <w:hyperlink r:id="rId8" w:history="1">
              <w:r w:rsidR="007D03AC">
                <w:rPr>
                  <w:rStyle w:val="Hyperlink"/>
                </w:rPr>
                <w:t>https://forms.business.gov.au/smartforms/servlet/SmartForm.html?formCode=OAIC-NDB</w:t>
              </w:r>
            </w:hyperlink>
            <w:r w:rsidR="007D03AC" w:rsidRPr="001B26B7">
              <w:rPr>
                <w:rFonts w:cs="Arial"/>
                <w:i/>
              </w:rPr>
              <w:t xml:space="preserve">. </w:t>
            </w:r>
          </w:p>
        </w:tc>
      </w:tr>
      <w:tr w:rsidR="007D03AC" w:rsidRPr="0050207A" w14:paraId="7987A714" w14:textId="77777777" w:rsidTr="006A5CDD">
        <w:tc>
          <w:tcPr>
            <w:tcW w:w="1271" w:type="dxa"/>
            <w:shd w:val="clear" w:color="auto" w:fill="D9D9D9" w:themeFill="background1" w:themeFillShade="D9"/>
          </w:tcPr>
          <w:p w14:paraId="4806C95E" w14:textId="77777777" w:rsidR="007D03AC" w:rsidRPr="001B26B7" w:rsidRDefault="007D03AC" w:rsidP="00B2159D">
            <w:pPr>
              <w:rPr>
                <w:rFonts w:cs="Arial"/>
              </w:rPr>
            </w:pPr>
          </w:p>
        </w:tc>
        <w:tc>
          <w:tcPr>
            <w:tcW w:w="7745" w:type="dxa"/>
          </w:tcPr>
          <w:p w14:paraId="4767F0A4" w14:textId="77777777" w:rsidR="007D03AC" w:rsidRPr="00BF54BC" w:rsidRDefault="007D03AC" w:rsidP="00B2159D">
            <w:pPr>
              <w:rPr>
                <w:rFonts w:cs="Arial"/>
              </w:rPr>
            </w:pPr>
            <w:r w:rsidRPr="001B26B7">
              <w:rPr>
                <w:rFonts w:cs="Arial"/>
              </w:rPr>
              <w:t>The way that notification to individuals occurs will depend on the context and nature of the breach, as well as on the relationship of the affected individuals to the organisation. Notification should occur as soon as practicable after completing the notification statement for the OAIC.</w:t>
            </w:r>
          </w:p>
        </w:tc>
      </w:tr>
      <w:tr w:rsidR="007D03AC" w:rsidRPr="0050207A" w14:paraId="1894D0B2" w14:textId="77777777" w:rsidTr="006A5CDD">
        <w:tc>
          <w:tcPr>
            <w:tcW w:w="1271" w:type="dxa"/>
            <w:shd w:val="clear" w:color="auto" w:fill="D9D9D9" w:themeFill="background1" w:themeFillShade="D9"/>
          </w:tcPr>
          <w:p w14:paraId="6421B2DC" w14:textId="77777777" w:rsidR="007D03AC" w:rsidRPr="001B26B7" w:rsidRDefault="007D03AC" w:rsidP="00B2159D">
            <w:pPr>
              <w:rPr>
                <w:rFonts w:cs="Arial"/>
              </w:rPr>
            </w:pPr>
            <w:r w:rsidRPr="001B26B7">
              <w:rPr>
                <w:rFonts w:cs="Arial"/>
              </w:rPr>
              <w:t xml:space="preserve">RECORD AND REVIEW </w:t>
            </w:r>
          </w:p>
        </w:tc>
        <w:tc>
          <w:tcPr>
            <w:tcW w:w="7745" w:type="dxa"/>
          </w:tcPr>
          <w:p w14:paraId="7BD780DA" w14:textId="0669D2CA" w:rsidR="007D03AC" w:rsidRPr="001B26B7" w:rsidRDefault="007D03AC" w:rsidP="00B2159D">
            <w:pPr>
              <w:rPr>
                <w:rFonts w:cs="Arial"/>
              </w:rPr>
            </w:pPr>
            <w:r>
              <w:rPr>
                <w:rFonts w:cs="Arial"/>
              </w:rPr>
              <w:t xml:space="preserve">[Service Name] </w:t>
            </w:r>
            <w:r w:rsidRPr="001B26B7">
              <w:rPr>
                <w:rFonts w:cs="Arial"/>
              </w:rPr>
              <w:t xml:space="preserve">will keep a data breach log to record all instances of data breaches or suspected breaches; it will also document assessments of the breach and any changes that were made due to a breach. </w:t>
            </w:r>
          </w:p>
          <w:p w14:paraId="157730B8" w14:textId="77777777" w:rsidR="007D03AC" w:rsidRPr="001B26B7" w:rsidRDefault="007D03AC" w:rsidP="00B2159D">
            <w:pPr>
              <w:rPr>
                <w:rFonts w:cs="Arial"/>
              </w:rPr>
            </w:pPr>
            <w:r w:rsidRPr="001B26B7">
              <w:rPr>
                <w:rFonts w:cs="Arial"/>
              </w:rPr>
              <w:t>All staff should be made aware of the log, and the</w:t>
            </w:r>
            <w:r>
              <w:rPr>
                <w:rFonts w:cs="Arial"/>
              </w:rPr>
              <w:t xml:space="preserve"> Executive Director</w:t>
            </w:r>
            <w:r w:rsidRPr="001B26B7">
              <w:rPr>
                <w:rFonts w:cs="Arial"/>
              </w:rPr>
              <w:t xml:space="preserve"> will be responsible for ensuring that all breaches or suspected breaches are recorded accurately in the log. </w:t>
            </w:r>
          </w:p>
        </w:tc>
      </w:tr>
      <w:tr w:rsidR="007D03AC" w:rsidRPr="0050207A" w14:paraId="2DA496D5" w14:textId="77777777" w:rsidTr="006A5CDD">
        <w:tc>
          <w:tcPr>
            <w:tcW w:w="1271" w:type="dxa"/>
            <w:shd w:val="clear" w:color="auto" w:fill="D9D9D9" w:themeFill="background1" w:themeFillShade="D9"/>
          </w:tcPr>
          <w:p w14:paraId="20170BF1" w14:textId="77777777" w:rsidR="007D03AC" w:rsidRPr="001B26B7" w:rsidRDefault="007D03AC" w:rsidP="00B2159D">
            <w:pPr>
              <w:rPr>
                <w:rFonts w:cs="Arial"/>
              </w:rPr>
            </w:pPr>
          </w:p>
        </w:tc>
        <w:tc>
          <w:tcPr>
            <w:tcW w:w="7745" w:type="dxa"/>
          </w:tcPr>
          <w:p w14:paraId="2F31D6C5" w14:textId="77777777" w:rsidR="007D03AC" w:rsidRPr="001B26B7" w:rsidRDefault="007D03AC" w:rsidP="00B2159D">
            <w:pPr>
              <w:rPr>
                <w:rFonts w:cs="Arial"/>
              </w:rPr>
            </w:pPr>
            <w:proofErr w:type="gramStart"/>
            <w:r w:rsidRPr="001B26B7">
              <w:rPr>
                <w:rFonts w:cs="Arial"/>
              </w:rPr>
              <w:t>Regardless</w:t>
            </w:r>
            <w:proofErr w:type="gramEnd"/>
            <w:r w:rsidRPr="001B26B7">
              <w:rPr>
                <w:rFonts w:cs="Arial"/>
              </w:rPr>
              <w:t xml:space="preserve"> if the breach or suspected breach was notifiable or not, a review should be conducted of the processes relating to the breach, so that protections in the future can be strengthened. Depending on the type and seriousness of the breach, this may include:</w:t>
            </w:r>
          </w:p>
          <w:p w14:paraId="26092294" w14:textId="77777777" w:rsidR="007D03AC" w:rsidRPr="001B26B7" w:rsidRDefault="007D03AC" w:rsidP="007D03AC">
            <w:pPr>
              <w:pStyle w:val="ListParagraph"/>
              <w:numPr>
                <w:ilvl w:val="0"/>
                <w:numId w:val="19"/>
              </w:numPr>
              <w:rPr>
                <w:rFonts w:cs="Arial"/>
              </w:rPr>
            </w:pPr>
            <w:r w:rsidRPr="001B26B7">
              <w:rPr>
                <w:rFonts w:cs="Arial"/>
              </w:rPr>
              <w:t>conducting a full investigation into how the breach occurred</w:t>
            </w:r>
          </w:p>
          <w:p w14:paraId="47804788" w14:textId="77777777" w:rsidR="007D03AC" w:rsidRPr="001B26B7" w:rsidRDefault="007D03AC" w:rsidP="007D03AC">
            <w:pPr>
              <w:pStyle w:val="ListParagraph"/>
              <w:numPr>
                <w:ilvl w:val="0"/>
                <w:numId w:val="19"/>
              </w:numPr>
              <w:rPr>
                <w:rFonts w:cs="Arial"/>
              </w:rPr>
            </w:pPr>
            <w:r w:rsidRPr="001B26B7">
              <w:rPr>
                <w:rFonts w:cs="Arial"/>
              </w:rPr>
              <w:t>implementing measures to ensure that it does not re-occur, which are documented in a prevention plan</w:t>
            </w:r>
          </w:p>
          <w:p w14:paraId="1F44F5FD" w14:textId="77777777" w:rsidR="007D03AC" w:rsidRPr="001B26B7" w:rsidRDefault="007D03AC" w:rsidP="007D03AC">
            <w:pPr>
              <w:pStyle w:val="ListParagraph"/>
              <w:numPr>
                <w:ilvl w:val="0"/>
                <w:numId w:val="19"/>
              </w:numPr>
              <w:rPr>
                <w:rFonts w:cs="Arial"/>
              </w:rPr>
            </w:pPr>
            <w:r w:rsidRPr="001B26B7">
              <w:rPr>
                <w:rFonts w:cs="Arial"/>
              </w:rPr>
              <w:t>reviewing security systems and cybersecurity</w:t>
            </w:r>
          </w:p>
          <w:p w14:paraId="339DACA0" w14:textId="77777777" w:rsidR="007D03AC" w:rsidRPr="001B26B7" w:rsidRDefault="007D03AC" w:rsidP="007D03AC">
            <w:pPr>
              <w:pStyle w:val="ListParagraph"/>
              <w:numPr>
                <w:ilvl w:val="0"/>
                <w:numId w:val="19"/>
              </w:numPr>
              <w:rPr>
                <w:rFonts w:cs="Arial"/>
              </w:rPr>
            </w:pPr>
            <w:r w:rsidRPr="001B26B7">
              <w:rPr>
                <w:rFonts w:cs="Arial"/>
              </w:rPr>
              <w:t>reviewing relevant policies and procedures</w:t>
            </w:r>
          </w:p>
          <w:p w14:paraId="42F43511" w14:textId="77777777" w:rsidR="007D03AC" w:rsidRPr="001B26B7" w:rsidRDefault="007D03AC" w:rsidP="007D03AC">
            <w:pPr>
              <w:pStyle w:val="ListParagraph"/>
              <w:numPr>
                <w:ilvl w:val="0"/>
                <w:numId w:val="19"/>
              </w:numPr>
              <w:rPr>
                <w:rFonts w:cs="Arial"/>
              </w:rPr>
            </w:pPr>
            <w:r w:rsidRPr="001B26B7">
              <w:rPr>
                <w:rFonts w:cs="Arial"/>
              </w:rPr>
              <w:t xml:space="preserve">providing additional staff training </w:t>
            </w:r>
            <w:proofErr w:type="gramStart"/>
            <w:r w:rsidRPr="001B26B7">
              <w:rPr>
                <w:rFonts w:cs="Arial"/>
              </w:rPr>
              <w:t>in regard to</w:t>
            </w:r>
            <w:proofErr w:type="gramEnd"/>
            <w:r w:rsidRPr="001B26B7">
              <w:rPr>
                <w:rFonts w:cs="Arial"/>
              </w:rPr>
              <w:t xml:space="preserve"> privacy and data breach responses.</w:t>
            </w:r>
          </w:p>
        </w:tc>
      </w:tr>
    </w:tbl>
    <w:p w14:paraId="596C8C16" w14:textId="77777777" w:rsidR="000B3A42" w:rsidRDefault="000B3A42" w:rsidP="000B3A42"/>
    <w:p w14:paraId="7241B478" w14:textId="6DB882DC" w:rsidR="00135AC2" w:rsidRPr="00A13BC5" w:rsidRDefault="004B1253" w:rsidP="00616F4A">
      <w:pPr>
        <w:pStyle w:val="Heading2"/>
        <w:rPr>
          <w:color w:val="auto"/>
        </w:rPr>
      </w:pPr>
      <w:r w:rsidRPr="00A13BC5">
        <w:rPr>
          <w:color w:val="auto"/>
        </w:rPr>
        <w:t xml:space="preserve">Issues to </w:t>
      </w:r>
      <w:r w:rsidR="003661D7" w:rsidRPr="00A13BC5">
        <w:rPr>
          <w:color w:val="auto"/>
        </w:rPr>
        <w:t>consider</w:t>
      </w:r>
      <w:r w:rsidRPr="00A13BC5">
        <w:rPr>
          <w:color w:val="auto"/>
        </w:rPr>
        <w:t xml:space="preserve"> to minimise the impact of a data breach</w:t>
      </w:r>
    </w:p>
    <w:p w14:paraId="1CF94A67" w14:textId="6C4DDC7A" w:rsidR="00616F4A" w:rsidRPr="00A13BC5" w:rsidRDefault="00B127EE" w:rsidP="00616F4A">
      <w:r w:rsidRPr="00A13BC5">
        <w:t xml:space="preserve">There are </w:t>
      </w:r>
      <w:proofErr w:type="gramStart"/>
      <w:r w:rsidRPr="00A13BC5">
        <w:t>a number of</w:t>
      </w:r>
      <w:proofErr w:type="gramEnd"/>
      <w:r w:rsidRPr="00A13BC5">
        <w:t xml:space="preserve"> </w:t>
      </w:r>
      <w:r w:rsidR="000E4C5C" w:rsidRPr="00A13BC5">
        <w:t>issues</w:t>
      </w:r>
      <w:r w:rsidRPr="00A13BC5">
        <w:t xml:space="preserve"> that [Service name] might consider</w:t>
      </w:r>
      <w:r w:rsidR="000E4C5C" w:rsidRPr="00A13BC5">
        <w:t xml:space="preserve"> as they </w:t>
      </w:r>
      <w:r w:rsidR="00AB0906" w:rsidRPr="00A13BC5">
        <w:t>develop</w:t>
      </w:r>
      <w:r w:rsidR="000E4C5C" w:rsidRPr="00A13BC5">
        <w:t xml:space="preserve"> systems to minimise the impact of a data breach</w:t>
      </w:r>
      <w:r w:rsidRPr="00A13BC5">
        <w:t xml:space="preserve">.  </w:t>
      </w:r>
      <w:r w:rsidR="000E4C5C" w:rsidRPr="00A13BC5">
        <w:t>These include:</w:t>
      </w:r>
    </w:p>
    <w:p w14:paraId="27CBC3D5" w14:textId="3EF872D9" w:rsidR="00A85323" w:rsidRPr="00A13BC5" w:rsidRDefault="00A85323" w:rsidP="00BB6BF4">
      <w:r w:rsidRPr="00A13BC5">
        <w:t>Adequate insurance protection</w:t>
      </w:r>
    </w:p>
    <w:p w14:paraId="6FFC2DA2" w14:textId="77777777" w:rsidR="00D81B3F" w:rsidRPr="00A13BC5" w:rsidRDefault="000E4C5C" w:rsidP="000E4C5C">
      <w:pPr>
        <w:pStyle w:val="ListParagraph"/>
        <w:numPr>
          <w:ilvl w:val="0"/>
          <w:numId w:val="21"/>
        </w:numPr>
      </w:pPr>
      <w:r w:rsidRPr="00A13BC5">
        <w:t xml:space="preserve">undertake a review of insurances held </w:t>
      </w:r>
      <w:r w:rsidR="001C4640" w:rsidRPr="00A13BC5">
        <w:t xml:space="preserve">to ensure they provide adequate protection </w:t>
      </w:r>
      <w:proofErr w:type="gramStart"/>
      <w:r w:rsidR="001C4640" w:rsidRPr="00A13BC5">
        <w:t>in the event that</w:t>
      </w:r>
      <w:proofErr w:type="gramEnd"/>
      <w:r w:rsidR="001C4640" w:rsidRPr="00A13BC5">
        <w:t xml:space="preserve"> a ransom</w:t>
      </w:r>
      <w:r w:rsidR="00BC74E4" w:rsidRPr="00A13BC5">
        <w:t xml:space="preserve">ware attack is launched against the service.  </w:t>
      </w:r>
    </w:p>
    <w:p w14:paraId="1EB96308" w14:textId="6464684E" w:rsidR="000E4C5C" w:rsidRPr="00A13BC5" w:rsidRDefault="00D81B3F" w:rsidP="000E4C5C">
      <w:pPr>
        <w:pStyle w:val="ListParagraph"/>
        <w:numPr>
          <w:ilvl w:val="0"/>
          <w:numId w:val="21"/>
        </w:numPr>
      </w:pPr>
      <w:r w:rsidRPr="00A13BC5">
        <w:t>I</w:t>
      </w:r>
      <w:r w:rsidR="00BC74E4" w:rsidRPr="00A13BC5">
        <w:t>nit</w:t>
      </w:r>
      <w:r w:rsidRPr="00A13BC5">
        <w:t xml:space="preserve">iate a discussion with </w:t>
      </w:r>
      <w:r w:rsidR="00A85323" w:rsidRPr="00A13BC5">
        <w:t>an</w:t>
      </w:r>
      <w:r w:rsidRPr="00A13BC5">
        <w:t xml:space="preserve"> insurance broker to explore insurance cover available</w:t>
      </w:r>
    </w:p>
    <w:p w14:paraId="6817B92C" w14:textId="5C2123CC" w:rsidR="00616F4A" w:rsidRPr="00A13BC5" w:rsidRDefault="006A24BC" w:rsidP="00C31D9E">
      <w:r w:rsidRPr="00A13BC5">
        <w:t xml:space="preserve">Time impact </w:t>
      </w:r>
      <w:r w:rsidR="00E1412D" w:rsidRPr="00A13BC5">
        <w:t xml:space="preserve">regarding </w:t>
      </w:r>
      <w:r w:rsidR="007C4C02" w:rsidRPr="00A13BC5">
        <w:t>management of a data breach</w:t>
      </w:r>
    </w:p>
    <w:p w14:paraId="32D9C44C" w14:textId="644899AF" w:rsidR="006A24BC" w:rsidRPr="00A13BC5" w:rsidRDefault="004E6D4D" w:rsidP="006A24BC">
      <w:pPr>
        <w:pStyle w:val="ListParagraph"/>
        <w:numPr>
          <w:ilvl w:val="0"/>
          <w:numId w:val="23"/>
        </w:numPr>
      </w:pPr>
      <w:r w:rsidRPr="00A13BC5">
        <w:t>Prepare for commitment of significant hours as a data breach is explored and managed in conjunction with the Privacy Commission</w:t>
      </w:r>
      <w:r w:rsidR="007C4C02" w:rsidRPr="00A13BC5">
        <w:t xml:space="preserve">, </w:t>
      </w:r>
      <w:proofErr w:type="gramStart"/>
      <w:r w:rsidR="007C4C02" w:rsidRPr="00A13BC5">
        <w:t>clients</w:t>
      </w:r>
      <w:proofErr w:type="gramEnd"/>
      <w:r w:rsidR="007C4C02" w:rsidRPr="00A13BC5">
        <w:t xml:space="preserve"> and other key contacts</w:t>
      </w:r>
    </w:p>
    <w:p w14:paraId="4579D520" w14:textId="0C91FA60" w:rsidR="007C4C02" w:rsidRPr="00A13BC5" w:rsidRDefault="00CE4C5D" w:rsidP="00CE4C5D">
      <w:r w:rsidRPr="00A13BC5">
        <w:t xml:space="preserve">Manage </w:t>
      </w:r>
      <w:r w:rsidR="004E5FCA" w:rsidRPr="00A13BC5">
        <w:t>and support those who are impacted by the data breach</w:t>
      </w:r>
    </w:p>
    <w:p w14:paraId="23E030CF" w14:textId="75478835" w:rsidR="004E5FCA" w:rsidRPr="00A13BC5" w:rsidRDefault="00FB7666" w:rsidP="004E5FCA">
      <w:pPr>
        <w:pStyle w:val="ListParagraph"/>
        <w:numPr>
          <w:ilvl w:val="0"/>
          <w:numId w:val="23"/>
        </w:numPr>
      </w:pPr>
      <w:r w:rsidRPr="00A13BC5">
        <w:t xml:space="preserve">Establish a key contact person who will be available to advise people who are </w:t>
      </w:r>
      <w:r w:rsidR="00BA7B29" w:rsidRPr="00A13BC5">
        <w:t xml:space="preserve">impacted by the data breach about what has happened, provide guidance on steps they need to take to secure their information </w:t>
      </w:r>
      <w:r w:rsidR="00240611" w:rsidRPr="00A13BC5">
        <w:t>and co-ordinate the communication strategy development</w:t>
      </w:r>
    </w:p>
    <w:p w14:paraId="7B00DD59" w14:textId="48CBA7CE" w:rsidR="00240611" w:rsidRPr="00A13BC5" w:rsidRDefault="00C91B8F" w:rsidP="00C91B8F">
      <w:r w:rsidRPr="00A13BC5">
        <w:t>Develop a communication strategy</w:t>
      </w:r>
    </w:p>
    <w:p w14:paraId="1355CC57" w14:textId="6963C24C" w:rsidR="00C91B8F" w:rsidRPr="00A13BC5" w:rsidRDefault="001C00F2" w:rsidP="00C91B8F">
      <w:pPr>
        <w:pStyle w:val="ListParagraph"/>
        <w:numPr>
          <w:ilvl w:val="0"/>
          <w:numId w:val="23"/>
        </w:numPr>
      </w:pPr>
      <w:r w:rsidRPr="00A13BC5">
        <w:t xml:space="preserve">Establish information on [Service name] website to identify that a data breach has occurred and to provide </w:t>
      </w:r>
      <w:r w:rsidR="00A561BD" w:rsidRPr="00A13BC5">
        <w:t>direction for those who might be affected by this</w:t>
      </w:r>
    </w:p>
    <w:p w14:paraId="33DFF667" w14:textId="3D539AD6" w:rsidR="00A561BD" w:rsidRPr="00A13BC5" w:rsidRDefault="00A561BD" w:rsidP="00C91B8F">
      <w:pPr>
        <w:pStyle w:val="ListParagraph"/>
        <w:numPr>
          <w:ilvl w:val="0"/>
          <w:numId w:val="23"/>
        </w:numPr>
      </w:pPr>
      <w:r w:rsidRPr="00A13BC5">
        <w:lastRenderedPageBreak/>
        <w:t xml:space="preserve">Create and distribute a letter from [Service name] </w:t>
      </w:r>
      <w:r w:rsidR="00853D6A" w:rsidRPr="00A13BC5">
        <w:t xml:space="preserve">to all who might be affected by the data breach outlining what has happened and </w:t>
      </w:r>
      <w:r w:rsidR="00174164" w:rsidRPr="00A13BC5">
        <w:t xml:space="preserve">provide guidance on </w:t>
      </w:r>
      <w:r w:rsidR="005F4F74" w:rsidRPr="00A13BC5">
        <w:t>steps they need to take to secure their information</w:t>
      </w:r>
    </w:p>
    <w:p w14:paraId="58A8DADF" w14:textId="07AE2AE6" w:rsidR="007D1C17" w:rsidRPr="00A13BC5" w:rsidRDefault="007D1C17" w:rsidP="007D1C17">
      <w:r w:rsidRPr="00A13BC5">
        <w:t>Review and update [Service name] risk management plan.</w:t>
      </w:r>
    </w:p>
    <w:p w14:paraId="498013E4" w14:textId="780FEADE" w:rsidR="00C34A68" w:rsidRDefault="00C34A68" w:rsidP="006418F0">
      <w:pPr>
        <w:pStyle w:val="Heading1"/>
        <w:numPr>
          <w:ilvl w:val="0"/>
          <w:numId w:val="1"/>
        </w:numPr>
      </w:pPr>
      <w:r>
        <w:t>Related documents</w:t>
      </w:r>
    </w:p>
    <w:p w14:paraId="6B8FE8A2" w14:textId="08045851" w:rsidR="003A2074" w:rsidRPr="009172A0" w:rsidRDefault="003A2074" w:rsidP="003A2074">
      <w:pPr>
        <w:pStyle w:val="BNGNormal"/>
        <w:spacing w:before="120"/>
        <w:rPr>
          <w:rFonts w:asciiTheme="minorHAnsi" w:hAnsiTheme="minorHAnsi"/>
          <w:color w:val="auto"/>
          <w:sz w:val="22"/>
          <w:szCs w:val="22"/>
        </w:rPr>
      </w:pPr>
      <w:r w:rsidRPr="009172A0">
        <w:rPr>
          <w:rFonts w:asciiTheme="minorHAnsi" w:hAnsiTheme="minorHAnsi"/>
          <w:color w:val="auto"/>
          <w:sz w:val="22"/>
          <w:szCs w:val="22"/>
        </w:rPr>
        <w:t>Communication Policy</w:t>
      </w:r>
    </w:p>
    <w:p w14:paraId="0ADC6F5D" w14:textId="74BB76FF" w:rsidR="003A2074" w:rsidRPr="009172A0" w:rsidRDefault="003A2074" w:rsidP="003A2074">
      <w:pPr>
        <w:pStyle w:val="BNGNormal"/>
        <w:spacing w:before="120"/>
        <w:rPr>
          <w:rFonts w:asciiTheme="minorHAnsi" w:hAnsiTheme="minorHAnsi"/>
          <w:color w:val="auto"/>
          <w:sz w:val="22"/>
          <w:szCs w:val="22"/>
        </w:rPr>
      </w:pPr>
      <w:r w:rsidRPr="009172A0">
        <w:rPr>
          <w:rFonts w:asciiTheme="minorHAnsi" w:hAnsiTheme="minorHAnsi"/>
          <w:color w:val="auto"/>
          <w:sz w:val="22"/>
          <w:szCs w:val="22"/>
        </w:rPr>
        <w:t>Privacy and Confidentiality Policy</w:t>
      </w:r>
    </w:p>
    <w:p w14:paraId="15B22CB4" w14:textId="7EC264EA" w:rsidR="00A9585F" w:rsidRPr="009172A0" w:rsidRDefault="003A2074" w:rsidP="003A2074">
      <w:r w:rsidRPr="009172A0">
        <w:t>Staff Induction Policy</w:t>
      </w:r>
    </w:p>
    <w:p w14:paraId="498013E5" w14:textId="77777777" w:rsidR="00C34A68" w:rsidRDefault="00C34A68" w:rsidP="006418F0">
      <w:pPr>
        <w:pStyle w:val="Heading1"/>
        <w:numPr>
          <w:ilvl w:val="0"/>
          <w:numId w:val="1"/>
        </w:numPr>
      </w:pPr>
      <w:r>
        <w:t>Review</w:t>
      </w:r>
    </w:p>
    <w:tbl>
      <w:tblPr>
        <w:tblStyle w:val="TableGrid"/>
        <w:tblW w:w="0" w:type="auto"/>
        <w:tblLook w:val="04A0" w:firstRow="1" w:lastRow="0" w:firstColumn="1" w:lastColumn="0" w:noHBand="0" w:noVBand="1"/>
      </w:tblPr>
      <w:tblGrid>
        <w:gridCol w:w="3005"/>
        <w:gridCol w:w="3005"/>
        <w:gridCol w:w="3006"/>
      </w:tblGrid>
      <w:tr w:rsidR="00C34A68" w:rsidRPr="00C34A68" w14:paraId="498013E7" w14:textId="77777777" w:rsidTr="00C34A68">
        <w:tc>
          <w:tcPr>
            <w:tcW w:w="9016" w:type="dxa"/>
            <w:gridSpan w:val="3"/>
            <w:shd w:val="clear" w:color="auto" w:fill="BDD6EE" w:themeFill="accent1" w:themeFillTint="66"/>
          </w:tcPr>
          <w:p w14:paraId="498013E6" w14:textId="77777777" w:rsidR="00C34A68" w:rsidRPr="00C34A68" w:rsidRDefault="00C34A68">
            <w:pPr>
              <w:rPr>
                <w:b/>
              </w:rPr>
            </w:pPr>
            <w:r w:rsidRPr="00C34A68">
              <w:rPr>
                <w:b/>
              </w:rPr>
              <w:t>Reviewing and approving this policy</w:t>
            </w:r>
          </w:p>
        </w:tc>
      </w:tr>
      <w:tr w:rsidR="00C34A68" w14:paraId="498013EB" w14:textId="77777777" w:rsidTr="00C34A68">
        <w:tc>
          <w:tcPr>
            <w:tcW w:w="3005" w:type="dxa"/>
          </w:tcPr>
          <w:p w14:paraId="498013E8" w14:textId="77777777" w:rsidR="00C34A68" w:rsidRDefault="00C34A68">
            <w:r>
              <w:t>Frequency</w:t>
            </w:r>
          </w:p>
        </w:tc>
        <w:tc>
          <w:tcPr>
            <w:tcW w:w="3005" w:type="dxa"/>
          </w:tcPr>
          <w:p w14:paraId="498013E9" w14:textId="77777777" w:rsidR="00C34A68" w:rsidRDefault="00C34A68">
            <w:r>
              <w:t>Person responsible</w:t>
            </w:r>
          </w:p>
        </w:tc>
        <w:tc>
          <w:tcPr>
            <w:tcW w:w="3006" w:type="dxa"/>
          </w:tcPr>
          <w:p w14:paraId="498013EA" w14:textId="77777777" w:rsidR="00C34A68" w:rsidRDefault="00C34A68">
            <w:r>
              <w:t>Approval</w:t>
            </w:r>
          </w:p>
        </w:tc>
      </w:tr>
      <w:tr w:rsidR="00C34A68" w14:paraId="498013EF" w14:textId="77777777" w:rsidTr="00C34A68">
        <w:tc>
          <w:tcPr>
            <w:tcW w:w="3005" w:type="dxa"/>
          </w:tcPr>
          <w:p w14:paraId="498013EC" w14:textId="77777777" w:rsidR="00C34A68" w:rsidRPr="00C34A68" w:rsidRDefault="00C34A68">
            <w:pPr>
              <w:rPr>
                <w:color w:val="2E74B5" w:themeColor="accent1" w:themeShade="BF"/>
              </w:rPr>
            </w:pPr>
            <w:r>
              <w:rPr>
                <w:color w:val="2E74B5" w:themeColor="accent1" w:themeShade="BF"/>
              </w:rPr>
              <w:t>[How often will this policy be reviewed]</w:t>
            </w:r>
          </w:p>
        </w:tc>
        <w:tc>
          <w:tcPr>
            <w:tcW w:w="3005" w:type="dxa"/>
          </w:tcPr>
          <w:p w14:paraId="498013ED" w14:textId="77777777" w:rsidR="00C34A68" w:rsidRPr="00C34A68" w:rsidRDefault="00C34A68">
            <w:pPr>
              <w:rPr>
                <w:color w:val="2E74B5" w:themeColor="accent1" w:themeShade="BF"/>
              </w:rPr>
            </w:pPr>
            <w:r>
              <w:rPr>
                <w:color w:val="2E74B5" w:themeColor="accent1" w:themeShade="BF"/>
              </w:rPr>
              <w:t>[Position of person responsible for reviewing policy]</w:t>
            </w:r>
          </w:p>
        </w:tc>
        <w:tc>
          <w:tcPr>
            <w:tcW w:w="3006" w:type="dxa"/>
          </w:tcPr>
          <w:p w14:paraId="498013EE" w14:textId="77777777" w:rsidR="00C34A68" w:rsidRPr="00C34A68" w:rsidRDefault="00C34A68">
            <w:pPr>
              <w:rPr>
                <w:color w:val="2E74B5" w:themeColor="accent1" w:themeShade="BF"/>
              </w:rPr>
            </w:pPr>
            <w:r w:rsidRPr="00C34A68">
              <w:rPr>
                <w:color w:val="2E74B5" w:themeColor="accent1" w:themeShade="BF"/>
              </w:rPr>
              <w:t>[position of person/group who approves this policy]</w:t>
            </w:r>
          </w:p>
        </w:tc>
      </w:tr>
    </w:tbl>
    <w:p w14:paraId="498013F0" w14:textId="77777777" w:rsidR="00C34A68" w:rsidRDefault="00C34A68"/>
    <w:tbl>
      <w:tblPr>
        <w:tblStyle w:val="TableGrid"/>
        <w:tblW w:w="0" w:type="auto"/>
        <w:tblLook w:val="04A0" w:firstRow="1" w:lastRow="0" w:firstColumn="1" w:lastColumn="0" w:noHBand="0" w:noVBand="1"/>
      </w:tblPr>
      <w:tblGrid>
        <w:gridCol w:w="2254"/>
        <w:gridCol w:w="2254"/>
        <w:gridCol w:w="2254"/>
        <w:gridCol w:w="2254"/>
      </w:tblGrid>
      <w:tr w:rsidR="00C34A68" w:rsidRPr="00C34A68" w14:paraId="498013F2" w14:textId="77777777" w:rsidTr="00C34A68">
        <w:tc>
          <w:tcPr>
            <w:tcW w:w="9016" w:type="dxa"/>
            <w:gridSpan w:val="4"/>
            <w:shd w:val="clear" w:color="auto" w:fill="BDD6EE" w:themeFill="accent1" w:themeFillTint="66"/>
          </w:tcPr>
          <w:p w14:paraId="498013F1" w14:textId="77777777" w:rsidR="00C34A68" w:rsidRPr="00C34A68" w:rsidRDefault="00C34A68">
            <w:pPr>
              <w:rPr>
                <w:b/>
              </w:rPr>
            </w:pPr>
            <w:r w:rsidRPr="00C34A68">
              <w:rPr>
                <w:b/>
              </w:rPr>
              <w:t>Policy review and version tracking</w:t>
            </w:r>
          </w:p>
        </w:tc>
      </w:tr>
      <w:tr w:rsidR="00C34A68" w14:paraId="498013F7" w14:textId="77777777" w:rsidTr="00C34A68">
        <w:tc>
          <w:tcPr>
            <w:tcW w:w="2254" w:type="dxa"/>
          </w:tcPr>
          <w:p w14:paraId="498013F3" w14:textId="77777777" w:rsidR="00C34A68" w:rsidRDefault="00C34A68">
            <w:r>
              <w:t>Review</w:t>
            </w:r>
          </w:p>
        </w:tc>
        <w:tc>
          <w:tcPr>
            <w:tcW w:w="2254" w:type="dxa"/>
          </w:tcPr>
          <w:p w14:paraId="498013F4" w14:textId="77777777" w:rsidR="00C34A68" w:rsidRDefault="00C34A68">
            <w:r>
              <w:t>Date approved</w:t>
            </w:r>
          </w:p>
        </w:tc>
        <w:tc>
          <w:tcPr>
            <w:tcW w:w="2254" w:type="dxa"/>
          </w:tcPr>
          <w:p w14:paraId="498013F5" w14:textId="77777777" w:rsidR="00C34A68" w:rsidRDefault="00C34A68">
            <w:r>
              <w:t>Approved by</w:t>
            </w:r>
          </w:p>
        </w:tc>
        <w:tc>
          <w:tcPr>
            <w:tcW w:w="2254" w:type="dxa"/>
          </w:tcPr>
          <w:p w14:paraId="498013F6" w14:textId="77777777" w:rsidR="00C34A68" w:rsidRDefault="00C34A68">
            <w:r>
              <w:t>Next review date</w:t>
            </w:r>
          </w:p>
        </w:tc>
      </w:tr>
      <w:tr w:rsidR="00C34A68" w14:paraId="498013FC" w14:textId="77777777" w:rsidTr="00C34A68">
        <w:tc>
          <w:tcPr>
            <w:tcW w:w="2254" w:type="dxa"/>
          </w:tcPr>
          <w:p w14:paraId="498013F8" w14:textId="77777777" w:rsidR="00C34A68" w:rsidRDefault="00C34A68">
            <w:r>
              <w:t>1</w:t>
            </w:r>
          </w:p>
        </w:tc>
        <w:tc>
          <w:tcPr>
            <w:tcW w:w="2254" w:type="dxa"/>
          </w:tcPr>
          <w:p w14:paraId="498013F9" w14:textId="77777777" w:rsidR="00C34A68" w:rsidRDefault="00C34A68"/>
        </w:tc>
        <w:tc>
          <w:tcPr>
            <w:tcW w:w="2254" w:type="dxa"/>
          </w:tcPr>
          <w:p w14:paraId="498013FA" w14:textId="77777777" w:rsidR="00C34A68" w:rsidRDefault="00C34A68"/>
        </w:tc>
        <w:tc>
          <w:tcPr>
            <w:tcW w:w="2254" w:type="dxa"/>
          </w:tcPr>
          <w:p w14:paraId="498013FB" w14:textId="77777777" w:rsidR="00C34A68" w:rsidRDefault="00C34A68"/>
        </w:tc>
      </w:tr>
      <w:tr w:rsidR="00C34A68" w14:paraId="49801401" w14:textId="77777777" w:rsidTr="00C34A68">
        <w:tc>
          <w:tcPr>
            <w:tcW w:w="2254" w:type="dxa"/>
          </w:tcPr>
          <w:p w14:paraId="498013FD" w14:textId="77777777" w:rsidR="00C34A68" w:rsidRDefault="00C34A68">
            <w:r>
              <w:t>2</w:t>
            </w:r>
          </w:p>
        </w:tc>
        <w:tc>
          <w:tcPr>
            <w:tcW w:w="2254" w:type="dxa"/>
          </w:tcPr>
          <w:p w14:paraId="498013FE" w14:textId="77777777" w:rsidR="00C34A68" w:rsidRDefault="00C34A68"/>
        </w:tc>
        <w:tc>
          <w:tcPr>
            <w:tcW w:w="2254" w:type="dxa"/>
          </w:tcPr>
          <w:p w14:paraId="498013FF" w14:textId="77777777" w:rsidR="00C34A68" w:rsidRDefault="00C34A68"/>
        </w:tc>
        <w:tc>
          <w:tcPr>
            <w:tcW w:w="2254" w:type="dxa"/>
          </w:tcPr>
          <w:p w14:paraId="49801400" w14:textId="77777777" w:rsidR="00C34A68" w:rsidRDefault="00C34A68"/>
        </w:tc>
      </w:tr>
      <w:tr w:rsidR="00C34A68" w14:paraId="49801406" w14:textId="77777777" w:rsidTr="00C34A68">
        <w:tc>
          <w:tcPr>
            <w:tcW w:w="2254" w:type="dxa"/>
          </w:tcPr>
          <w:p w14:paraId="49801402" w14:textId="77777777" w:rsidR="00C34A68" w:rsidRDefault="00C34A68">
            <w:r>
              <w:t>3</w:t>
            </w:r>
          </w:p>
        </w:tc>
        <w:tc>
          <w:tcPr>
            <w:tcW w:w="2254" w:type="dxa"/>
          </w:tcPr>
          <w:p w14:paraId="49801403" w14:textId="77777777" w:rsidR="00C34A68" w:rsidRDefault="00C34A68"/>
        </w:tc>
        <w:tc>
          <w:tcPr>
            <w:tcW w:w="2254" w:type="dxa"/>
          </w:tcPr>
          <w:p w14:paraId="49801404" w14:textId="77777777" w:rsidR="00C34A68" w:rsidRDefault="00C34A68"/>
        </w:tc>
        <w:tc>
          <w:tcPr>
            <w:tcW w:w="2254" w:type="dxa"/>
          </w:tcPr>
          <w:p w14:paraId="49801405" w14:textId="77777777" w:rsidR="00C34A68" w:rsidRDefault="00C34A68"/>
        </w:tc>
      </w:tr>
    </w:tbl>
    <w:p w14:paraId="49801407" w14:textId="77777777" w:rsidR="00C34A68" w:rsidRDefault="00C34A68"/>
    <w:p w14:paraId="49801408" w14:textId="77777777" w:rsidR="00C34A68" w:rsidRDefault="00C34A68"/>
    <w:sectPr w:rsidR="00C34A6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96EE" w14:textId="77777777" w:rsidR="00FF16C9" w:rsidRDefault="00FF16C9" w:rsidP="009F05F2">
      <w:pPr>
        <w:spacing w:after="0" w:line="240" w:lineRule="auto"/>
      </w:pPr>
      <w:r>
        <w:separator/>
      </w:r>
    </w:p>
  </w:endnote>
  <w:endnote w:type="continuationSeparator" w:id="0">
    <w:p w14:paraId="02CD72FD" w14:textId="77777777" w:rsidR="00FF16C9" w:rsidRDefault="00FF16C9" w:rsidP="009F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729254"/>
      <w:docPartObj>
        <w:docPartGallery w:val="Page Numbers (Bottom of Page)"/>
        <w:docPartUnique/>
      </w:docPartObj>
    </w:sdtPr>
    <w:sdtEndPr>
      <w:rPr>
        <w:noProof/>
      </w:rPr>
    </w:sdtEndPr>
    <w:sdtContent>
      <w:p w14:paraId="442E7F4F" w14:textId="39FFAC7F" w:rsidR="0002166B" w:rsidRDefault="000216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51FA8" w14:textId="77777777" w:rsidR="0002166B" w:rsidRDefault="00021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EDA0" w14:textId="77777777" w:rsidR="00FF16C9" w:rsidRDefault="00FF16C9" w:rsidP="009F05F2">
      <w:pPr>
        <w:spacing w:after="0" w:line="240" w:lineRule="auto"/>
      </w:pPr>
      <w:r>
        <w:separator/>
      </w:r>
    </w:p>
  </w:footnote>
  <w:footnote w:type="continuationSeparator" w:id="0">
    <w:p w14:paraId="079766FD" w14:textId="77777777" w:rsidR="00FF16C9" w:rsidRDefault="00FF16C9" w:rsidP="009F0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E3658"/>
    <w:multiLevelType w:val="hybridMultilevel"/>
    <w:tmpl w:val="38801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83464"/>
    <w:multiLevelType w:val="hybridMultilevel"/>
    <w:tmpl w:val="D87CAFAC"/>
    <w:lvl w:ilvl="0" w:tplc="C4662624">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7946B5"/>
    <w:multiLevelType w:val="hybridMultilevel"/>
    <w:tmpl w:val="A5346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250286"/>
    <w:multiLevelType w:val="hybridMultilevel"/>
    <w:tmpl w:val="BB18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14E2B"/>
    <w:multiLevelType w:val="hybridMultilevel"/>
    <w:tmpl w:val="062298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5BF1468"/>
    <w:multiLevelType w:val="multilevel"/>
    <w:tmpl w:val="10A04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614FC0"/>
    <w:multiLevelType w:val="hybridMultilevel"/>
    <w:tmpl w:val="89A88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306AD"/>
    <w:multiLevelType w:val="hybridMultilevel"/>
    <w:tmpl w:val="94864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34417"/>
    <w:multiLevelType w:val="hybridMultilevel"/>
    <w:tmpl w:val="F12E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6A16F4"/>
    <w:multiLevelType w:val="hybridMultilevel"/>
    <w:tmpl w:val="918C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85B55"/>
    <w:multiLevelType w:val="hybridMultilevel"/>
    <w:tmpl w:val="2C08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26F67"/>
    <w:multiLevelType w:val="hybridMultilevel"/>
    <w:tmpl w:val="10C84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9F1EFE"/>
    <w:multiLevelType w:val="hybridMultilevel"/>
    <w:tmpl w:val="75F6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6254ED"/>
    <w:multiLevelType w:val="hybridMultilevel"/>
    <w:tmpl w:val="BDFA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17389B"/>
    <w:multiLevelType w:val="hybridMultilevel"/>
    <w:tmpl w:val="DF3805F8"/>
    <w:lvl w:ilvl="0" w:tplc="3734100A">
      <w:start w:val="1"/>
      <w:numFmt w:val="decimal"/>
      <w:lvlText w:val="%1."/>
      <w:lvlJc w:val="left"/>
      <w:pPr>
        <w:ind w:left="720" w:hanging="360"/>
      </w:pPr>
      <w:rPr>
        <w:rFonts w:eastAsiaTheme="minorHAnsi"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2105A8"/>
    <w:multiLevelType w:val="hybridMultilevel"/>
    <w:tmpl w:val="315E6D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C38285E"/>
    <w:multiLevelType w:val="multilevel"/>
    <w:tmpl w:val="3708A2E8"/>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5C5A20E5"/>
    <w:multiLevelType w:val="hybridMultilevel"/>
    <w:tmpl w:val="4210F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A312A1"/>
    <w:multiLevelType w:val="hybridMultilevel"/>
    <w:tmpl w:val="345E4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A85909"/>
    <w:multiLevelType w:val="hybridMultilevel"/>
    <w:tmpl w:val="CB46F3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BCA6AAC"/>
    <w:multiLevelType w:val="hybridMultilevel"/>
    <w:tmpl w:val="15281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9A73CAC"/>
    <w:multiLevelType w:val="hybridMultilevel"/>
    <w:tmpl w:val="B5B0C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07393D"/>
    <w:multiLevelType w:val="multilevel"/>
    <w:tmpl w:val="39EC71D2"/>
    <w:lvl w:ilvl="0">
      <w:start w:val="1"/>
      <w:numFmt w:val="bullet"/>
      <w:lvlText w:val=""/>
      <w:lvlJc w:val="left"/>
      <w:pPr>
        <w:tabs>
          <w:tab w:val="num" w:pos="1074"/>
        </w:tabs>
        <w:ind w:left="1074" w:hanging="360"/>
      </w:pPr>
      <w:rPr>
        <w:rFonts w:ascii="Symbol" w:hAnsi="Symbol" w:hint="default"/>
        <w:sz w:val="24"/>
        <w:szCs w:val="24"/>
      </w:rPr>
    </w:lvl>
    <w:lvl w:ilvl="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num w:numId="1">
    <w:abstractNumId w:val="15"/>
  </w:num>
  <w:num w:numId="2">
    <w:abstractNumId w:val="21"/>
  </w:num>
  <w:num w:numId="3">
    <w:abstractNumId w:val="11"/>
  </w:num>
  <w:num w:numId="4">
    <w:abstractNumId w:val="2"/>
  </w:num>
  <w:num w:numId="5">
    <w:abstractNumId w:val="9"/>
  </w:num>
  <w:num w:numId="6">
    <w:abstractNumId w:val="6"/>
  </w:num>
  <w:num w:numId="7">
    <w:abstractNumId w:val="8"/>
  </w:num>
  <w:num w:numId="8">
    <w:abstractNumId w:val="13"/>
  </w:num>
  <w:num w:numId="9">
    <w:abstractNumId w:val="7"/>
  </w:num>
  <w:num w:numId="10">
    <w:abstractNumId w:val="0"/>
  </w:num>
  <w:num w:numId="11">
    <w:abstractNumId w:val="12"/>
  </w:num>
  <w:num w:numId="12">
    <w:abstractNumId w:val="20"/>
  </w:num>
  <w:num w:numId="13">
    <w:abstractNumId w:val="1"/>
  </w:num>
  <w:num w:numId="14">
    <w:abstractNumId w:val="4"/>
  </w:num>
  <w:num w:numId="15">
    <w:abstractNumId w:val="16"/>
  </w:num>
  <w:num w:numId="16">
    <w:abstractNumId w:val="22"/>
  </w:num>
  <w:num w:numId="17">
    <w:abstractNumId w:val="5"/>
  </w:num>
  <w:num w:numId="18">
    <w:abstractNumId w:val="18"/>
  </w:num>
  <w:num w:numId="19">
    <w:abstractNumId w:val="19"/>
  </w:num>
  <w:num w:numId="20">
    <w:abstractNumId w:val="14"/>
  </w:num>
  <w:num w:numId="21">
    <w:abstractNumId w:val="10"/>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D76"/>
    <w:rsid w:val="0002166B"/>
    <w:rsid w:val="000B3A42"/>
    <w:rsid w:val="000E4C5C"/>
    <w:rsid w:val="0011647D"/>
    <w:rsid w:val="00135AC2"/>
    <w:rsid w:val="00145C9C"/>
    <w:rsid w:val="00174164"/>
    <w:rsid w:val="00196844"/>
    <w:rsid w:val="001C00F2"/>
    <w:rsid w:val="001C4640"/>
    <w:rsid w:val="001C6392"/>
    <w:rsid w:val="00221611"/>
    <w:rsid w:val="00240611"/>
    <w:rsid w:val="002B68ED"/>
    <w:rsid w:val="00302DFA"/>
    <w:rsid w:val="00322304"/>
    <w:rsid w:val="0036618D"/>
    <w:rsid w:val="003661D7"/>
    <w:rsid w:val="003A2074"/>
    <w:rsid w:val="003F45BE"/>
    <w:rsid w:val="00417548"/>
    <w:rsid w:val="004412A6"/>
    <w:rsid w:val="004B0B6B"/>
    <w:rsid w:val="004B1253"/>
    <w:rsid w:val="004E5FCA"/>
    <w:rsid w:val="004E6D4D"/>
    <w:rsid w:val="004F1E6E"/>
    <w:rsid w:val="00553E0C"/>
    <w:rsid w:val="005574D4"/>
    <w:rsid w:val="00593EAF"/>
    <w:rsid w:val="005F4F74"/>
    <w:rsid w:val="00616F4A"/>
    <w:rsid w:val="006418F0"/>
    <w:rsid w:val="006A24BC"/>
    <w:rsid w:val="006A5CDD"/>
    <w:rsid w:val="0072714E"/>
    <w:rsid w:val="00743AEF"/>
    <w:rsid w:val="007C3154"/>
    <w:rsid w:val="007C4C02"/>
    <w:rsid w:val="007D03AC"/>
    <w:rsid w:val="007D1C17"/>
    <w:rsid w:val="007E610D"/>
    <w:rsid w:val="00853D6A"/>
    <w:rsid w:val="00855EC2"/>
    <w:rsid w:val="008A3455"/>
    <w:rsid w:val="0090683E"/>
    <w:rsid w:val="009172A0"/>
    <w:rsid w:val="00981D1C"/>
    <w:rsid w:val="00996D76"/>
    <w:rsid w:val="009C37B4"/>
    <w:rsid w:val="009D0F80"/>
    <w:rsid w:val="009F05F2"/>
    <w:rsid w:val="00A13BC5"/>
    <w:rsid w:val="00A209D6"/>
    <w:rsid w:val="00A26B7E"/>
    <w:rsid w:val="00A53396"/>
    <w:rsid w:val="00A561BD"/>
    <w:rsid w:val="00A85323"/>
    <w:rsid w:val="00A9585F"/>
    <w:rsid w:val="00AB0906"/>
    <w:rsid w:val="00B127EE"/>
    <w:rsid w:val="00B63DA3"/>
    <w:rsid w:val="00BA7B29"/>
    <w:rsid w:val="00BB6BF4"/>
    <w:rsid w:val="00BC74E4"/>
    <w:rsid w:val="00C04AF2"/>
    <w:rsid w:val="00C27E01"/>
    <w:rsid w:val="00C31D9E"/>
    <w:rsid w:val="00C34A68"/>
    <w:rsid w:val="00C36575"/>
    <w:rsid w:val="00C61425"/>
    <w:rsid w:val="00C91B8F"/>
    <w:rsid w:val="00CE4C5D"/>
    <w:rsid w:val="00D81B3F"/>
    <w:rsid w:val="00D83628"/>
    <w:rsid w:val="00D9083C"/>
    <w:rsid w:val="00DE4A97"/>
    <w:rsid w:val="00E01E54"/>
    <w:rsid w:val="00E1412D"/>
    <w:rsid w:val="00E2270E"/>
    <w:rsid w:val="00E25D51"/>
    <w:rsid w:val="00EB75D2"/>
    <w:rsid w:val="00ED7FD8"/>
    <w:rsid w:val="00EF0906"/>
    <w:rsid w:val="00F5315A"/>
    <w:rsid w:val="00F9583D"/>
    <w:rsid w:val="00FA6DF3"/>
    <w:rsid w:val="00FB7666"/>
    <w:rsid w:val="00FE19F5"/>
    <w:rsid w:val="00FF1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013A0"/>
  <w15:chartTrackingRefBased/>
  <w15:docId w15:val="{C3D64165-BA85-4D76-9119-D7E64CD4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E0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553E0C"/>
    <w:pPr>
      <w:ind w:left="720"/>
      <w:contextualSpacing/>
    </w:pPr>
  </w:style>
  <w:style w:type="paragraph" w:styleId="Header">
    <w:name w:val="header"/>
    <w:basedOn w:val="Normal"/>
    <w:link w:val="HeaderChar"/>
    <w:uiPriority w:val="99"/>
    <w:unhideWhenUsed/>
    <w:rsid w:val="009F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5F2"/>
  </w:style>
  <w:style w:type="paragraph" w:styleId="Footer">
    <w:name w:val="footer"/>
    <w:basedOn w:val="Normal"/>
    <w:link w:val="FooterChar"/>
    <w:uiPriority w:val="99"/>
    <w:unhideWhenUsed/>
    <w:rsid w:val="009F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5F2"/>
  </w:style>
  <w:style w:type="character" w:styleId="Emphasis">
    <w:name w:val="Emphasis"/>
    <w:basedOn w:val="DefaultParagraphFont"/>
    <w:uiPriority w:val="20"/>
    <w:qFormat/>
    <w:rsid w:val="00EF0906"/>
    <w:rPr>
      <w:i/>
      <w:iCs/>
    </w:rPr>
  </w:style>
  <w:style w:type="paragraph" w:customStyle="1" w:styleId="Default">
    <w:name w:val="Default"/>
    <w:rsid w:val="00A26B7E"/>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412A6"/>
  </w:style>
  <w:style w:type="character" w:styleId="Hyperlink">
    <w:name w:val="Hyperlink"/>
    <w:basedOn w:val="DefaultParagraphFont"/>
    <w:uiPriority w:val="99"/>
    <w:unhideWhenUsed/>
    <w:rsid w:val="00D83628"/>
    <w:rPr>
      <w:color w:val="0000FF"/>
      <w:u w:val="single"/>
    </w:rPr>
  </w:style>
  <w:style w:type="character" w:styleId="Strong">
    <w:name w:val="Strong"/>
    <w:basedOn w:val="DefaultParagraphFont"/>
    <w:uiPriority w:val="22"/>
    <w:qFormat/>
    <w:rsid w:val="00D83628"/>
    <w:rPr>
      <w:b/>
      <w:bCs/>
    </w:rPr>
  </w:style>
  <w:style w:type="paragraph" w:customStyle="1" w:styleId="BNGNormal">
    <w:name w:val="BNG Normal"/>
    <w:basedOn w:val="Normal"/>
    <w:link w:val="BNGNormalChar"/>
    <w:qFormat/>
    <w:rsid w:val="007D03AC"/>
    <w:pPr>
      <w:widowControl w:val="0"/>
      <w:suppressAutoHyphens/>
      <w:autoSpaceDE w:val="0"/>
      <w:autoSpaceDN w:val="0"/>
      <w:adjustRightInd w:val="0"/>
      <w:spacing w:after="120" w:line="240" w:lineRule="auto"/>
      <w:textAlignment w:val="center"/>
    </w:pPr>
    <w:rPr>
      <w:rFonts w:ascii="Arial" w:eastAsia="Calibri" w:hAnsi="Arial" w:cs="Avenir-Book"/>
      <w:color w:val="404040"/>
      <w:sz w:val="20"/>
      <w:szCs w:val="20"/>
      <w:lang w:val="en-GB" w:eastAsia="en-AU"/>
    </w:rPr>
  </w:style>
  <w:style w:type="character" w:customStyle="1" w:styleId="BNGNormalChar">
    <w:name w:val="BNG Normal Char"/>
    <w:link w:val="BNGNormal"/>
    <w:rsid w:val="007D03AC"/>
    <w:rPr>
      <w:rFonts w:ascii="Arial" w:eastAsia="Calibri" w:hAnsi="Arial" w:cs="Avenir-Book"/>
      <w:color w:val="404040"/>
      <w:sz w:val="20"/>
      <w:szCs w:val="20"/>
      <w:lang w:val="en-GB" w:eastAsia="en-AU"/>
    </w:rPr>
  </w:style>
  <w:style w:type="paragraph" w:styleId="NormalWeb">
    <w:name w:val="Normal (Web)"/>
    <w:basedOn w:val="Normal"/>
    <w:uiPriority w:val="99"/>
    <w:unhideWhenUsed/>
    <w:rsid w:val="007D03AC"/>
    <w:pPr>
      <w:spacing w:before="120" w:after="120" w:line="240" w:lineRule="auto"/>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business.gov.au/smartforms/servlet/SmartForm.html?formCode=OAIC-ND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cr_000\Documents\GHSH\Narrabri\Policies%20&amp;%20Procedures\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Document Template</Template>
  <TotalTime>61</TotalTime>
  <Pages>7</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suecr_000</dc:creator>
  <cp:keywords/>
  <dc:description/>
  <cp:lastModifiedBy>Sue Cripps</cp:lastModifiedBy>
  <cp:revision>52</cp:revision>
  <dcterms:created xsi:type="dcterms:W3CDTF">2021-04-07T23:59:00Z</dcterms:created>
  <dcterms:modified xsi:type="dcterms:W3CDTF">2022-02-02T04:44:00Z</dcterms:modified>
</cp:coreProperties>
</file>